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footer1.xml" ContentType="application/vnd.openxmlformats-officedocument.wordprocessingml.footer+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ind w:left="360" w:hanging="0"/>
        <w:rPr/>
      </w:pPr>
      <w:r>
        <w:rPr>
          <w:b/>
          <w:sz w:val="22"/>
          <w:szCs w:val="22"/>
          <w:lang w:val="bg-BG"/>
        </w:rPr>
        <w:t>ЛЕКЦИЯ 1</w:t>
      </w:r>
      <w:r>
        <w:rPr>
          <w:sz w:val="22"/>
          <w:szCs w:val="22"/>
          <w:lang w:val="bg-BG"/>
        </w:rPr>
        <w:t>. КОНЦЕПТУАЛИЗАЦИЯ НА СОЦИАЛНАТА ПОЛИТИКА /СП/</w:t>
      </w:r>
    </w:p>
    <w:p>
      <w:pPr>
        <w:pStyle w:val="Normal"/>
        <w:ind w:left="360" w:firstLine="360"/>
        <w:jc w:val="both"/>
        <w:rPr>
          <w:b/>
          <w:b/>
          <w:sz w:val="22"/>
          <w:szCs w:val="22"/>
          <w:lang w:val="bg-BG"/>
        </w:rPr>
      </w:pPr>
      <w:r>
        <w:rPr>
          <w:b/>
          <w:sz w:val="22"/>
          <w:szCs w:val="22"/>
          <w:lang w:val="bg-BG"/>
        </w:rPr>
      </w:r>
    </w:p>
    <w:p>
      <w:pPr>
        <w:pStyle w:val="Normal"/>
        <w:numPr>
          <w:ilvl w:val="0"/>
          <w:numId w:val="10"/>
        </w:numPr>
        <w:jc w:val="both"/>
        <w:rPr>
          <w:b/>
          <w:b/>
          <w:sz w:val="22"/>
          <w:szCs w:val="22"/>
          <w:lang w:val="bg-BG"/>
        </w:rPr>
      </w:pPr>
      <w:r>
        <w:rPr>
          <w:b/>
          <w:sz w:val="22"/>
          <w:szCs w:val="22"/>
          <w:lang w:val="bg-BG"/>
        </w:rPr>
        <w:t>Същност на СП от функционален и управленски аспект</w:t>
      </w:r>
    </w:p>
    <w:p>
      <w:pPr>
        <w:pStyle w:val="Normal"/>
        <w:ind w:firstLine="708"/>
        <w:jc w:val="both"/>
        <w:rPr/>
      </w:pPr>
      <w:r>
        <w:rPr>
          <w:b/>
          <w:sz w:val="22"/>
          <w:szCs w:val="22"/>
          <w:lang w:val="bg-BG"/>
        </w:rPr>
        <w:t>СП</w:t>
      </w:r>
      <w:r>
        <w:rPr>
          <w:sz w:val="22"/>
          <w:szCs w:val="22"/>
          <w:lang w:val="bg-BG"/>
        </w:rPr>
        <w:t xml:space="preserve"> е термин с нееднородно теоретично дефиниране, обяснение, разбиране и тълкуване, въпреки широкото му използване в социалната практика. Генезисните термини са  лат. дума “socialis” /общество, съвместен живот на хората, общност, социални групи/ и гръцката “politike” /“policy”, “politics” - регулираща дейност на управляващите, механизъм за упражняване на властта; политическо управление и разпределение на властта/. Получава различни определения, адекватни на социалнополитическата практика и социалнополитическите концепции на съответните епохи. </w:t>
      </w:r>
    </w:p>
    <w:p>
      <w:pPr>
        <w:pStyle w:val="Normal"/>
        <w:ind w:firstLine="708"/>
        <w:jc w:val="both"/>
        <w:rPr>
          <w:sz w:val="22"/>
          <w:szCs w:val="22"/>
          <w:lang w:val="bg-BG"/>
        </w:rPr>
      </w:pPr>
      <w:r>
        <w:rPr>
          <w:sz w:val="22"/>
          <w:szCs w:val="22"/>
          <w:lang w:val="bg-BG"/>
        </w:rPr>
        <w:t xml:space="preserve">Изходният пункт на СП са социалните проблеми на хората /бедност, безработица, болест, инвалидност, майчинство, старост и пр./, произтичащите от тях негативни последици /социални неравенства/ и намиране на адекватни управленски въздействия за тяхното регулиране/разрешаване. </w:t>
      </w:r>
    </w:p>
    <w:p>
      <w:pPr>
        <w:pStyle w:val="Normal"/>
        <w:ind w:firstLine="708"/>
        <w:jc w:val="both"/>
        <w:rPr/>
      </w:pPr>
      <w:r>
        <w:rPr>
          <w:b/>
          <w:sz w:val="22"/>
          <w:szCs w:val="22"/>
          <w:lang w:val="bg-BG"/>
        </w:rPr>
        <w:t xml:space="preserve">От функционална гл.т. СП в широк смисъл </w:t>
      </w:r>
      <w:r>
        <w:rPr>
          <w:sz w:val="22"/>
          <w:szCs w:val="22"/>
          <w:lang w:val="bg-BG"/>
        </w:rPr>
        <w:t xml:space="preserve">представлява обществено организирани и правно регламентирани дейности за задоволяване на определен набор от социални потребности. </w:t>
      </w:r>
      <w:r>
        <w:rPr>
          <w:b/>
          <w:sz w:val="22"/>
          <w:szCs w:val="22"/>
          <w:lang w:val="bg-BG"/>
        </w:rPr>
        <w:t>Това са дейности по осигуряване на публични блага и услуги</w:t>
      </w:r>
      <w:r>
        <w:rPr>
          <w:sz w:val="22"/>
          <w:szCs w:val="22"/>
          <w:lang w:val="bg-BG"/>
        </w:rPr>
        <w:t>, свързани със</w:t>
      </w:r>
      <w:r>
        <w:rPr>
          <w:b/>
          <w:sz w:val="22"/>
          <w:szCs w:val="22"/>
          <w:lang w:val="bg-BG"/>
        </w:rPr>
        <w:t xml:space="preserve"> </w:t>
      </w:r>
      <w:r>
        <w:rPr>
          <w:sz w:val="22"/>
          <w:szCs w:val="22"/>
          <w:lang w:val="bg-BG"/>
        </w:rPr>
        <w:t xml:space="preserve">заетост, безопасни и здравословни условия на труд, достъп до образование, здравеопазване /профилактика, лечение и рехабилитация/, социален отдих,  социално подпомагане, социално осигуряване, битов комфорт /жилище, екологично чиста среда, защита от посегателства върху личността и собствеността и пр./. Тези дейности са институционално закрепени чрез национални социални законодателства и международни правни норми /ратифицирани от съответните страни/, адекватни са на социалните потребности на всички граждани в конкретното общество в ролята им на  обекти на СП. Управлението и регулирането им се осъществява от правителствени и неправителствени органи и организации – субекти на СП като цяло. </w:t>
      </w:r>
      <w:r>
        <w:rPr>
          <w:b/>
          <w:sz w:val="22"/>
          <w:szCs w:val="22"/>
          <w:lang w:val="bg-BG"/>
        </w:rPr>
        <w:t>Основната цел</w:t>
      </w:r>
      <w:r>
        <w:rPr>
          <w:sz w:val="22"/>
          <w:szCs w:val="22"/>
          <w:lang w:val="bg-BG"/>
        </w:rPr>
        <w:t xml:space="preserve"> на този тип СП е гарантиране на социална сигурност  за достойно човешко съществуване.</w:t>
      </w:r>
    </w:p>
    <w:p>
      <w:pPr>
        <w:pStyle w:val="Normal"/>
        <w:ind w:firstLine="708"/>
        <w:jc w:val="both"/>
        <w:rPr/>
      </w:pPr>
      <w:r>
        <w:rPr>
          <w:b/>
          <w:sz w:val="22"/>
          <w:szCs w:val="22"/>
          <w:lang w:val="bg-BG"/>
        </w:rPr>
        <w:t xml:space="preserve">СП в тесен смисъл </w:t>
      </w:r>
      <w:r>
        <w:rPr>
          <w:sz w:val="22"/>
          <w:szCs w:val="22"/>
          <w:lang w:val="bg-BG"/>
        </w:rPr>
        <w:t xml:space="preserve">представлява обществено организирани и правно регламентирани дейности за задоволяване на определен набор от социални потребности, предизвикани от настъпването на неблагоприятни рискове. Рисковете са свързани с </w:t>
      </w:r>
      <w:r>
        <w:rPr>
          <w:b/>
          <w:sz w:val="22"/>
          <w:szCs w:val="22"/>
          <w:lang w:val="bg-BG"/>
        </w:rPr>
        <w:t xml:space="preserve">нетрудоспособност, </w:t>
      </w:r>
      <w:r>
        <w:rPr>
          <w:sz w:val="22"/>
          <w:szCs w:val="22"/>
          <w:lang w:val="bg-BG"/>
        </w:rPr>
        <w:t xml:space="preserve">породена от болест, инвалидност, майчинство, детска възраст, старост  и пр.; </w:t>
      </w:r>
      <w:r>
        <w:rPr>
          <w:b/>
          <w:sz w:val="22"/>
          <w:szCs w:val="22"/>
          <w:lang w:val="bg-BG"/>
        </w:rPr>
        <w:t xml:space="preserve">безработица, </w:t>
      </w:r>
      <w:r>
        <w:rPr>
          <w:sz w:val="22"/>
          <w:szCs w:val="22"/>
          <w:lang w:val="bg-BG"/>
        </w:rPr>
        <w:t xml:space="preserve">поради лична неконкурентноспособност на трудовия пазар, структурни реформи в икономиката,  обявяване на търговци в несъстоятелност, кражба на юридически лица и пр.; </w:t>
      </w:r>
      <w:r>
        <w:rPr>
          <w:b/>
          <w:sz w:val="22"/>
          <w:szCs w:val="22"/>
          <w:lang w:val="bg-BG"/>
        </w:rPr>
        <w:t xml:space="preserve">маргинализация, </w:t>
      </w:r>
      <w:r>
        <w:rPr>
          <w:sz w:val="22"/>
          <w:szCs w:val="22"/>
          <w:lang w:val="bg-BG"/>
        </w:rPr>
        <w:t>поради бедност и загуба на базисни статуси и екстремни ситуации – природни и социални. Основните дейности, чрез които се осъществява защитата, са дейности по осигуряване на заетост, по социално осигуряване и социално подпомагане, управлявани от правителствени  и неправителствени органи и организации.</w:t>
      </w:r>
    </w:p>
    <w:p>
      <w:pPr>
        <w:pStyle w:val="Normal"/>
        <w:ind w:firstLine="708"/>
        <w:jc w:val="both"/>
        <w:rPr/>
      </w:pPr>
      <w:r>
        <w:rPr>
          <w:sz w:val="22"/>
          <w:szCs w:val="22"/>
          <w:lang w:val="bg-BG"/>
        </w:rPr>
        <w:t xml:space="preserve"> </w:t>
      </w:r>
      <w:r>
        <w:rPr>
          <w:sz w:val="22"/>
          <w:szCs w:val="22"/>
          <w:lang w:val="bg-BG"/>
        </w:rPr>
        <w:t xml:space="preserve">Разглеждана </w:t>
      </w:r>
      <w:r>
        <w:rPr>
          <w:b/>
          <w:sz w:val="22"/>
          <w:szCs w:val="22"/>
          <w:lang w:val="bg-BG"/>
        </w:rPr>
        <w:t>от управленски аспект</w:t>
      </w:r>
      <w:r>
        <w:rPr>
          <w:sz w:val="22"/>
          <w:szCs w:val="22"/>
          <w:lang w:val="bg-BG"/>
        </w:rPr>
        <w:t>, СП се интересува от регулация на социалните дейности и отношения – потребности, права, статусни позиции. Основните й цели са намаляване на социалните неравенства в обществото и запазване на социалния мир.</w:t>
      </w:r>
    </w:p>
    <w:p>
      <w:pPr>
        <w:pStyle w:val="Normal"/>
        <w:ind w:firstLine="708"/>
        <w:jc w:val="both"/>
        <w:rPr>
          <w:sz w:val="22"/>
          <w:szCs w:val="22"/>
          <w:lang w:val="bg-BG"/>
        </w:rPr>
      </w:pPr>
      <w:r>
        <w:rPr>
          <w:sz w:val="22"/>
          <w:szCs w:val="22"/>
          <w:lang w:val="bg-BG"/>
        </w:rPr>
      </w:r>
    </w:p>
    <w:p>
      <w:pPr>
        <w:pStyle w:val="Normal"/>
        <w:numPr>
          <w:ilvl w:val="0"/>
          <w:numId w:val="10"/>
        </w:numPr>
        <w:jc w:val="both"/>
        <w:rPr>
          <w:sz w:val="22"/>
          <w:szCs w:val="22"/>
          <w:lang w:val="bg-BG"/>
        </w:rPr>
      </w:pPr>
      <w:r>
        <w:rPr>
          <w:b/>
          <w:sz w:val="22"/>
          <w:szCs w:val="22"/>
          <w:lang w:val="bg-BG"/>
        </w:rPr>
        <w:t>Еволюционен срез на СП  / Исторически ракурс/</w:t>
      </w:r>
    </w:p>
    <w:p>
      <w:pPr>
        <w:pStyle w:val="Normal"/>
        <w:ind w:firstLine="708"/>
        <w:jc w:val="both"/>
        <w:rPr>
          <w:sz w:val="22"/>
          <w:szCs w:val="22"/>
          <w:lang w:val="bg-BG"/>
        </w:rPr>
      </w:pPr>
      <w:r>
        <w:rPr>
          <w:sz w:val="22"/>
          <w:szCs w:val="22"/>
          <w:lang w:val="bg-BG"/>
        </w:rPr>
      </w:r>
    </w:p>
    <w:p>
      <w:pPr>
        <w:pStyle w:val="Normal"/>
        <w:ind w:left="360" w:hanging="0"/>
        <w:jc w:val="both"/>
        <w:rPr/>
      </w:pPr>
      <w:r>
        <w:rPr>
          <w:sz w:val="22"/>
          <w:szCs w:val="22"/>
          <w:lang w:val="bg-BG"/>
        </w:rPr>
        <w:tab/>
        <w:t xml:space="preserve">Наченки на СП като практика се откриват още </w:t>
      </w:r>
      <w:r>
        <w:rPr>
          <w:b/>
          <w:sz w:val="22"/>
          <w:szCs w:val="22"/>
          <w:lang w:val="bg-BG"/>
        </w:rPr>
        <w:t>в прединдустриалните общества /античност,  средновековие/.</w:t>
      </w:r>
      <w:r>
        <w:rPr>
          <w:sz w:val="22"/>
          <w:szCs w:val="22"/>
          <w:lang w:val="bg-BG"/>
        </w:rPr>
        <w:t xml:space="preserve"> В тези общества социалните потребности са задоволявани чрез семейството, църквата и благотворителни дейности на аристокрацията. СП изпълнява ролята на политика на обществото, поради което често е наричана “червен кръст”. Предмет е масовата бедност и социалната нищета. Обект са социално рисковите групи – нетрудоспособните /поради болест, инвалидност и смърт/, бедните, децата и възрастните. Основната й цел - ограничаване на бедността и запазване на социалния мир. Според Д.Лакичевич в Староеврейската държава, Древния Египет и Древна Гърция социалната защита </w:t>
      </w:r>
      <w:r>
        <w:rPr>
          <w:b/>
          <w:sz w:val="22"/>
          <w:szCs w:val="22"/>
          <w:lang w:val="bg-BG"/>
        </w:rPr>
        <w:t>се осъществява от семейството, религиозните институции и държавата. О</w:t>
      </w:r>
      <w:r>
        <w:rPr>
          <w:sz w:val="22"/>
          <w:szCs w:val="22"/>
          <w:lang w:val="bg-BG"/>
        </w:rPr>
        <w:t xml:space="preserve">сновава се на принципа на  солидарността между поколенията и на религиозните и етичните норми в традиционните общества  /милосърдието се приема за добро дело/. Според Д.Лакичевич </w:t>
      </w:r>
      <w:r>
        <w:rPr>
          <w:b/>
          <w:sz w:val="22"/>
          <w:szCs w:val="22"/>
          <w:lang w:val="bg-BG"/>
        </w:rPr>
        <w:t>в примитивните общества</w:t>
      </w:r>
      <w:r>
        <w:rPr>
          <w:sz w:val="22"/>
          <w:szCs w:val="22"/>
          <w:lang w:val="bg-BG"/>
        </w:rPr>
        <w:t xml:space="preserve"> социалната защита се отнася до рисковите групи – деца, болни и възрастни. Приема се като морален дълг на поколенията /ескимоси, индианци/. </w:t>
      </w:r>
      <w:r>
        <w:rPr>
          <w:b/>
          <w:sz w:val="22"/>
          <w:szCs w:val="22"/>
          <w:lang w:val="bg-BG"/>
        </w:rPr>
        <w:t>В робовладелското общество</w:t>
      </w:r>
      <w:r>
        <w:rPr>
          <w:sz w:val="22"/>
          <w:szCs w:val="22"/>
          <w:lang w:val="bg-BG"/>
        </w:rPr>
        <w:t xml:space="preserve"> социално защитени са само нетрудоспособните – бедни. Например в Староеврейската държава социалната защита се основава на принципа на  солидарността  между поколенията и на религиозните норми, в древен Египет – на религията, в древна Гърция – СП се оценява като  хуманистично-демократична, защото държавата  се е считала длъжна да оказва помощ на материално неосигурените си граждани и утилитарна, защото чрез социалнополитическата дейност се осигурява социалния мир, да се предотвратяват социални размирици/конфликти. </w:t>
      </w:r>
      <w:r>
        <w:rPr>
          <w:b/>
          <w:sz w:val="22"/>
          <w:szCs w:val="22"/>
          <w:lang w:val="bg-BG"/>
        </w:rPr>
        <w:t>Във феодалните общества</w:t>
      </w:r>
      <w:r>
        <w:rPr>
          <w:sz w:val="22"/>
          <w:szCs w:val="22"/>
          <w:lang w:val="bg-BG"/>
        </w:rPr>
        <w:t xml:space="preserve"> социална защита е упражнявана  спрямо нетрудоспособните /поради болест, инвалидност и смърт/. Осъществява се централизирано от държавата и се поставя началото на преход към децентрализирано управление на социалната защита чрез системата на градска социална защита  /1535 г. Белгия/ и чрез взаимоспомагателните каси към цехове и гилдии. </w:t>
      </w:r>
    </w:p>
    <w:p>
      <w:pPr>
        <w:pStyle w:val="Normal"/>
        <w:ind w:firstLine="708"/>
        <w:jc w:val="both"/>
        <w:rPr>
          <w:sz w:val="22"/>
          <w:szCs w:val="22"/>
          <w:lang w:val="bg-BG"/>
        </w:rPr>
      </w:pPr>
      <w:r>
        <w:rPr>
          <w:b/>
          <w:sz w:val="22"/>
          <w:szCs w:val="22"/>
          <w:lang w:val="bg-BG"/>
        </w:rPr>
        <w:tab/>
      </w:r>
    </w:p>
    <w:p>
      <w:pPr>
        <w:pStyle w:val="Normal"/>
        <w:ind w:firstLine="708"/>
        <w:jc w:val="both"/>
        <w:rPr>
          <w:b/>
          <w:b/>
          <w:sz w:val="22"/>
          <w:szCs w:val="22"/>
          <w:lang w:val="bg-BG"/>
        </w:rPr>
      </w:pPr>
      <w:r>
        <w:rPr>
          <w:b/>
          <w:sz w:val="22"/>
          <w:szCs w:val="22"/>
          <w:lang w:val="bg-BG"/>
        </w:rPr>
        <w:t xml:space="preserve">СП възниква като система от знания и правни норми в периода на първоначалното натрупване на капитала. </w:t>
      </w:r>
      <w:r>
        <w:rPr>
          <w:sz w:val="22"/>
          <w:szCs w:val="22"/>
          <w:lang w:val="bg-BG"/>
        </w:rPr>
        <w:t>В този период се осъществява преход от традиционните към индустриалните /модерните общества/.</w:t>
      </w:r>
      <w:r>
        <w:rPr>
          <w:sz w:val="22"/>
          <w:szCs w:val="22"/>
          <w:lang w:val="ru-RU"/>
        </w:rPr>
        <w:t xml:space="preserve">  За разлика от </w:t>
      </w:r>
      <w:r>
        <w:rPr>
          <w:sz w:val="22"/>
          <w:szCs w:val="22"/>
          <w:lang w:val="bg-BG"/>
        </w:rPr>
        <w:t xml:space="preserve">  прединдустриалните общества, през  индустриалните потребностите се задоволяват чрез </w:t>
      </w:r>
      <w:r>
        <w:rPr>
          <w:b/>
          <w:sz w:val="22"/>
          <w:szCs w:val="22"/>
          <w:lang w:val="bg-BG"/>
        </w:rPr>
        <w:t>държавна СП</w:t>
      </w:r>
      <w:r>
        <w:rPr>
          <w:sz w:val="22"/>
          <w:szCs w:val="22"/>
          <w:lang w:val="bg-BG"/>
        </w:rPr>
        <w:t>. Държавата институционализира социалните регулации чрез социални законодателства, създава адекватни на законодателствата публични институции и организации и конкретни социалнополитически практики. Според Т.Брайкова за пръв път в човешката  история  социалното законодателство /Poor Law от 1601 г./ в Тюдорска Англия институционализира регулирането на бедността и нейните последици като задължителен елемент на обществото. По този начин някъде през 16 век се заражда СП в съвременния си вид, въпреки че през този период нейното съдържание се изчерпва с регулиране на бедността и нейните социални ефекти.</w:t>
      </w:r>
    </w:p>
    <w:p>
      <w:pPr>
        <w:pStyle w:val="Normal"/>
        <w:ind w:firstLine="708"/>
        <w:jc w:val="both"/>
        <w:rPr/>
      </w:pPr>
      <w:r>
        <w:rPr>
          <w:b/>
          <w:sz w:val="22"/>
          <w:szCs w:val="22"/>
          <w:lang w:val="bg-BG"/>
        </w:rPr>
        <w:t>През индустриалните общества</w:t>
      </w:r>
      <w:r>
        <w:rPr>
          <w:sz w:val="22"/>
          <w:szCs w:val="22"/>
          <w:lang w:val="bg-BG"/>
        </w:rPr>
        <w:t xml:space="preserve"> социалните потребности  са задоволявани чрез държавна СП, която регулира социалните отношения между труда  и капитала и формите за предоставяне на  социални услуги и защита на наемния труд. Предмет са отношенията между труда и капитала /ниско заплащане, вредни и нездравословни условия на труд, експлоатация на женския и детския труд/. Обект на СП са заетите и нетрудоспособните /рискови групи/. Основната й цел е гарантиране на</w:t>
      </w:r>
      <w:r>
        <w:rPr>
          <w:b/>
          <w:sz w:val="22"/>
          <w:szCs w:val="22"/>
          <w:lang w:val="bg-BG"/>
        </w:rPr>
        <w:t xml:space="preserve"> държавна социална защита на труда. </w:t>
      </w:r>
      <w:r>
        <w:rPr>
          <w:sz w:val="22"/>
          <w:szCs w:val="22"/>
          <w:lang w:val="bg-BG"/>
        </w:rPr>
        <w:t>Според Герхард Брюк регулациите се осъществяват чрез:</w:t>
      </w:r>
      <w:r>
        <w:rPr>
          <w:b/>
          <w:sz w:val="22"/>
          <w:szCs w:val="22"/>
          <w:lang w:val="bg-BG"/>
        </w:rPr>
        <w:t xml:space="preserve"> 1. поредица от социални законодателства </w:t>
      </w:r>
      <w:r>
        <w:rPr>
          <w:sz w:val="22"/>
          <w:szCs w:val="22"/>
          <w:lang w:val="bg-BG"/>
        </w:rPr>
        <w:t xml:space="preserve">/във Франция – Закон за забрана на детския труд за деца под 8 г. - 1841 г.; Закон за създаване на служби по труда - 1891 г.; в Германия  - Кралски указ  за ограничаване  работното време на децата – 1839 г.; Кайзеровото послание за работническото социално осигуряване – 1891 г.; Интернационална конференция за защита на труда – 1890 г.; В Австрия – Закон за ограничаване  труда на децата – 1859 г.; в Швейцария – Правата за трудова защита  - 1874 г.; Закон за защита на женския труд – 1877 г.; в Англия – Закон за закрила здравето и морала на учениците в памукотекстилните фабрики – 1802 г. и Специален закон за защита на миньорите – 1842 г./; </w:t>
      </w:r>
      <w:r>
        <w:rPr>
          <w:b/>
          <w:sz w:val="22"/>
          <w:szCs w:val="22"/>
          <w:lang w:val="bg-BG"/>
        </w:rPr>
        <w:t>2. взаимопомощни сдружения на работниците /</w:t>
      </w:r>
      <w:r>
        <w:rPr>
          <w:sz w:val="22"/>
          <w:szCs w:val="22"/>
          <w:lang w:val="bg-BG"/>
        </w:rPr>
        <w:t xml:space="preserve">Сдружението за социална политика от 1873 г.; Генералното сдружение за благоденствие на работническата класа от 1884 г.; Обществото на социалните реформи, издаващо списание “Социална практика” от 1901 г.; профсъюзните организации - във Франция – Закон за професионалните сдружения от 1884 г., в България -... и пр. /; </w:t>
      </w:r>
      <w:r>
        <w:rPr>
          <w:b/>
          <w:sz w:val="22"/>
          <w:szCs w:val="22"/>
          <w:lang w:val="bg-BG"/>
        </w:rPr>
        <w:t xml:space="preserve">3. самозащитни дейности на работниците </w:t>
      </w:r>
      <w:r>
        <w:rPr>
          <w:sz w:val="22"/>
          <w:szCs w:val="22"/>
          <w:lang w:val="bg-BG"/>
        </w:rPr>
        <w:t xml:space="preserve"> /актуални и днес/ – доброволни помощни каси; общински работнически общежития; производствени и потребителски кооперации /в Англия от 1822 г., във Франция от 1894 г., в България.../.</w:t>
      </w:r>
    </w:p>
    <w:p>
      <w:pPr>
        <w:pStyle w:val="Normal"/>
        <w:ind w:firstLine="708"/>
        <w:jc w:val="both"/>
        <w:rPr/>
      </w:pPr>
      <w:r>
        <w:rPr>
          <w:b/>
          <w:sz w:val="22"/>
          <w:szCs w:val="22"/>
          <w:lang w:val="bg-BG"/>
        </w:rPr>
        <w:t>В съвременните модерни общества и обществата на късната модерност СП се превръща в  инструмент на властта на различни нива -  държавно, общинско, фирмено, гражданско за реализиране на  приоритетни социални  цели. През първата половина на 20 век</w:t>
      </w:r>
      <w:r>
        <w:rPr>
          <w:sz w:val="22"/>
          <w:szCs w:val="22"/>
          <w:lang w:val="bg-BG"/>
        </w:rPr>
        <w:t xml:space="preserve">  предметният обхват на СП се разширява  – въвежда се задължителна образователна система, специални мерки за придобиване и повишаване на професионалните умения на работниците;  законодателна защита здравето на децата, жените и трудово заетите, болнично осигуряване, осигуряване при злополука, осигуряване при старост и инвалидност, въвежда се работническо социално осигуряване, законодателни мерки за разрешаване на жилищните проблеми на работещите и др. Приоритетни  стават такива  конкретни социални цели като:</w:t>
      </w:r>
      <w:r>
        <w:rPr>
          <w:b/>
          <w:sz w:val="22"/>
          <w:szCs w:val="22"/>
          <w:lang w:val="bg-BG"/>
        </w:rPr>
        <w:t xml:space="preserve"> политика на социалното развитие</w:t>
      </w:r>
      <w:r>
        <w:rPr>
          <w:sz w:val="22"/>
          <w:szCs w:val="22"/>
          <w:lang w:val="bg-BG"/>
        </w:rPr>
        <w:t xml:space="preserve"> – за постигане на човешка сигурност за всички хора, съгласно класификацията на ПРООН /икономическа, продоволствена, здравна, екологична, лична и обществена, политическа;  </w:t>
      </w:r>
      <w:r>
        <w:rPr>
          <w:b/>
          <w:sz w:val="22"/>
          <w:szCs w:val="22"/>
          <w:lang w:val="bg-BG"/>
        </w:rPr>
        <w:t>политика на жизнения стандарт</w:t>
      </w:r>
      <w:r>
        <w:rPr>
          <w:sz w:val="22"/>
          <w:szCs w:val="22"/>
          <w:lang w:val="bg-BG"/>
        </w:rPr>
        <w:t xml:space="preserve"> - за запазване на жизнено равнище на всички хора, съгласно класификацията на ООН: здравето и демографските характеристики, храненето, образованието, заетостта, трудовите условия, жилищните  условия, социалната сигурност, почивката и свободното време, околната среда и човешките ресурси; и </w:t>
      </w:r>
      <w:r>
        <w:rPr>
          <w:b/>
          <w:sz w:val="22"/>
          <w:szCs w:val="22"/>
          <w:lang w:val="bg-BG"/>
        </w:rPr>
        <w:t xml:space="preserve">политика спрямо отделни лица, групи и общности, </w:t>
      </w:r>
      <w:r>
        <w:rPr>
          <w:sz w:val="22"/>
          <w:szCs w:val="22"/>
          <w:lang w:val="bg-BG"/>
        </w:rPr>
        <w:t>които се намират в неблагоприятно положение - за гарантиране на техния жизнен стандарт, който са имали преди да се случат с тях неочаквани  рискове и събития.</w:t>
      </w:r>
    </w:p>
    <w:p>
      <w:pPr>
        <w:pStyle w:val="Normal"/>
        <w:ind w:firstLine="708"/>
        <w:jc w:val="both"/>
        <w:rPr/>
      </w:pPr>
      <w:r>
        <w:rPr>
          <w:b/>
          <w:sz w:val="22"/>
          <w:szCs w:val="22"/>
          <w:lang w:val="bg-BG"/>
        </w:rPr>
        <w:t xml:space="preserve">В средата на 20 век сърцевина на СП  става  социалната сигурност. Новата  </w:t>
      </w:r>
      <w:r>
        <w:rPr>
          <w:sz w:val="22"/>
          <w:szCs w:val="22"/>
          <w:lang w:val="bg-BG"/>
        </w:rPr>
        <w:t xml:space="preserve">СП има за свой обект не конкретни рискови групи, а всички хора, поради това, че са застрашени /Лудвиг Прелер/ от многобройни рискове в динамичния съвременен живот и жизненият им стандарт не може да бъде запазен. Основната й цел е създаване на такава социалнозащитна мрежа, чрез която да се гарантират нормални условия на живот и достойно човешко съществуване при настъпване на социални рискове. </w:t>
      </w:r>
    </w:p>
    <w:p>
      <w:pPr>
        <w:pStyle w:val="Normal"/>
        <w:ind w:firstLine="708"/>
        <w:jc w:val="both"/>
        <w:rPr/>
      </w:pPr>
      <w:r>
        <w:rPr>
          <w:sz w:val="22"/>
          <w:szCs w:val="22"/>
          <w:lang w:val="bg-BG"/>
        </w:rPr>
        <w:t>Променя се и характерът на СП. Докато в предмодерните /прединдустриалните общества СП има социалнопрактическа насоченост и структуроподдържащ характер и нейното предназначение според Лудвиг Прелер е да служи да запазване статуквото на заварената обществена структура и социалния мир, то в модерните/индустриалните характерът й постепенно се променя в “структуропреобразуващ”. Преобразуващата роля на СП според Д.Димова се изразява в това, че  като разширява своя обхват СП /превантивна и последваща/  започва самостоятелно да регулира социалните отношения, престава да изпълнява обслужваща роля по отношение на икономиката, намира своето равностойно място при икономическата и другите политики и съвместно с тях съдейства за социалното реформиране на икономиките и на обществените структури като цяло. Това я превръща в обект на изследователски интерес от страна на социалната теория /в края на 19 век/, а в академичните среди започва нейното теоретично осмисляне и преподаване като академична учебна дисциплина.</w:t>
      </w:r>
    </w:p>
    <w:p>
      <w:pPr>
        <w:pStyle w:val="Normal"/>
        <w:ind w:firstLine="708"/>
        <w:jc w:val="both"/>
        <w:rPr>
          <w:sz w:val="22"/>
          <w:szCs w:val="22"/>
          <w:lang w:val="bg-BG"/>
        </w:rPr>
      </w:pPr>
      <w:r>
        <w:rPr>
          <w:sz w:val="22"/>
          <w:szCs w:val="22"/>
          <w:lang w:val="bg-BG"/>
        </w:rPr>
      </w:r>
    </w:p>
    <w:p>
      <w:pPr>
        <w:pStyle w:val="Normal"/>
        <w:numPr>
          <w:ilvl w:val="0"/>
          <w:numId w:val="10"/>
        </w:numPr>
        <w:jc w:val="both"/>
        <w:rPr>
          <w:b/>
          <w:b/>
          <w:sz w:val="22"/>
          <w:szCs w:val="22"/>
          <w:lang w:val="bg-BG"/>
        </w:rPr>
      </w:pPr>
      <w:r>
        <w:rPr>
          <w:b/>
          <w:sz w:val="22"/>
          <w:szCs w:val="22"/>
          <w:lang w:val="bg-BG"/>
        </w:rPr>
        <w:t>Основни функции на СП</w:t>
      </w:r>
    </w:p>
    <w:p>
      <w:pPr>
        <w:pStyle w:val="Normal"/>
        <w:ind w:firstLine="708"/>
        <w:jc w:val="both"/>
        <w:rPr>
          <w:sz w:val="22"/>
          <w:szCs w:val="22"/>
          <w:lang w:val="bg-BG"/>
        </w:rPr>
      </w:pPr>
      <w:r>
        <w:rPr>
          <w:b/>
          <w:sz w:val="22"/>
          <w:szCs w:val="22"/>
          <w:lang w:val="bg-BG"/>
        </w:rPr>
        <w:t>СП като обществен феномен  има две взаимосвързани компонента:</w:t>
      </w:r>
    </w:p>
    <w:p>
      <w:pPr>
        <w:pStyle w:val="Normal"/>
        <w:ind w:firstLine="708"/>
        <w:jc w:val="both"/>
        <w:rPr>
          <w:sz w:val="22"/>
          <w:szCs w:val="22"/>
          <w:lang w:val="bg-BG"/>
        </w:rPr>
      </w:pPr>
      <w:r>
        <w:rPr>
          <w:sz w:val="22"/>
          <w:szCs w:val="22"/>
          <w:lang w:val="bg-BG"/>
        </w:rPr>
        <w:t>1. практика – вниманието е концентрирано върху сферата, формите и средствата на въздействие за постигане на  целта;</w:t>
      </w:r>
    </w:p>
    <w:p>
      <w:pPr>
        <w:pStyle w:val="Normal"/>
        <w:ind w:firstLine="708"/>
        <w:jc w:val="both"/>
        <w:rPr>
          <w:sz w:val="22"/>
          <w:szCs w:val="22"/>
          <w:lang w:val="bg-BG"/>
        </w:rPr>
      </w:pPr>
      <w:r>
        <w:rPr>
          <w:sz w:val="22"/>
          <w:szCs w:val="22"/>
          <w:lang w:val="bg-BG"/>
        </w:rPr>
        <w:t>2. наука – извежда на преден план различни научни схващания, доводи, формулира принципи и закономерностите  за развитие на социалните отношения.</w:t>
      </w:r>
    </w:p>
    <w:p>
      <w:pPr>
        <w:pStyle w:val="Normal"/>
        <w:ind w:left="360" w:hanging="0"/>
        <w:jc w:val="both"/>
        <w:rPr>
          <w:b/>
          <w:b/>
          <w:sz w:val="22"/>
          <w:szCs w:val="22"/>
          <w:lang w:val="bg-BG"/>
        </w:rPr>
      </w:pPr>
      <w:r>
        <w:rPr>
          <w:b/>
          <w:sz w:val="22"/>
          <w:szCs w:val="22"/>
          <w:lang w:val="bg-BG"/>
        </w:rPr>
      </w:r>
    </w:p>
    <w:p>
      <w:pPr>
        <w:pStyle w:val="Normal"/>
        <w:ind w:left="1416" w:hanging="0"/>
        <w:jc w:val="both"/>
        <w:rPr/>
      </w:pPr>
      <w:r>
        <w:rPr>
          <w:b/>
          <w:sz w:val="22"/>
          <w:szCs w:val="22"/>
          <w:lang w:val="bg-BG"/>
        </w:rPr>
        <w:t>СП</w:t>
      </w:r>
      <w:r>
        <w:rPr>
          <w:b/>
          <w:i/>
          <w:sz w:val="22"/>
          <w:szCs w:val="22"/>
          <w:lang w:val="bg-BG"/>
        </w:rPr>
        <w:t xml:space="preserve"> като практика има следните функции:</w:t>
      </w:r>
    </w:p>
    <w:p>
      <w:pPr>
        <w:pStyle w:val="Normal"/>
        <w:ind w:firstLine="708"/>
        <w:jc w:val="both"/>
        <w:rPr/>
      </w:pPr>
      <w:r>
        <w:rPr>
          <w:b/>
          <w:sz w:val="22"/>
          <w:szCs w:val="22"/>
          <w:lang w:val="bg-BG"/>
        </w:rPr>
        <w:t>Защитна</w:t>
      </w:r>
      <w:r>
        <w:rPr>
          <w:sz w:val="22"/>
          <w:szCs w:val="22"/>
          <w:lang w:val="bg-BG"/>
        </w:rPr>
        <w:t xml:space="preserve"> /подпомагаща, съхраняваща, гарантираща / - чрез определени  социалнополитически действия да се създадат условия за индивида, социалната група, професионалната или териториална общност или на обществото като цяло  да излязат от  затрудняващите ги обстоятелства. Тя може да се заключава в най-елементарните  комунални дейности, като например предоставен на помощ за хората без средства, но може да означава и защита на обществото като цяло от социална дезинтеграция, от социален конфликт с тежки последици за нацията. Най-стара да се защити човекът и в частност работникът от външни въздействия – и пр. вс. от онези, свързани с труда. Като проява на  екзогенната страна на защитната функция се разглеждат всички закони  за забрана на детския труд, за закрила на жените и младежите в труда, за регулиране на работното време и пр.; за ”хуманизиране на трудовия свят”; опазване и защита на околната среда, която хората живеят и се възпроизвеждат. Ендогенният компонент на СП означава защита на човека от причини, коренящи се в него самия – закриляща човека не заради самия него, а заради това че е фактор в производството. – човек има не само хуманна, но и икономическа стойност. Например здравословното състояние, семейното положение, социалнопсихическата структура на индивидите са все фактори, които изискват социална защита.</w:t>
      </w:r>
    </w:p>
    <w:p>
      <w:pPr>
        <w:pStyle w:val="Normal"/>
        <w:ind w:firstLine="708"/>
        <w:jc w:val="both"/>
        <w:rPr/>
      </w:pPr>
      <w:r>
        <w:rPr>
          <w:b/>
          <w:sz w:val="22"/>
          <w:szCs w:val="22"/>
          <w:lang w:val="bg-BG"/>
        </w:rPr>
        <w:t xml:space="preserve">2. Разпределителна – СП разбирана като необходимо действие и средство при отказ на пазарния механизъм. </w:t>
      </w:r>
      <w:r>
        <w:rPr>
          <w:sz w:val="22"/>
          <w:szCs w:val="22"/>
          <w:lang w:val="bg-BG"/>
        </w:rPr>
        <w:t>Тази концепция се позовава на схващането, според което пазарният механизъм отказва да служи пълноценно в областта на разпределението. Пазарът разпределя доходите според участието на непосредствените фактори на производствения процес: капитала и живият труд. Социалните субекти, които не доставят</w:t>
      </w:r>
      <w:r>
        <w:rPr>
          <w:b/>
          <w:sz w:val="22"/>
          <w:szCs w:val="22"/>
          <w:lang w:val="bg-BG"/>
        </w:rPr>
        <w:t xml:space="preserve"> </w:t>
      </w:r>
      <w:r>
        <w:rPr>
          <w:sz w:val="22"/>
          <w:szCs w:val="22"/>
          <w:lang w:val="bg-BG"/>
        </w:rPr>
        <w:t>никакви резултати за пазара, не получават и никакви доходи от него. Докато съществува единство между производството  и разпределението в рамките на големите солидарни фамилии, “социалният въпрос” в неговата дълбочина все още не се проявява. С разкъсването на това единство непродуктивните членове на обществото, както и неефективните от гл.т. на частната инициатива отрасли могат да поддържат само на основата на едно вторично разпределение, което по същество е принудително. На практика чрез механизмите на  данъчното облагане и вноските  на социалното осигуряване се постига отнемане на  част от доходите на едни за сметка на други слоеве  от населението. Нарушават се принципите на свободното пазарно стопанство чрез отнемане на  част от суверенитета на индивидите като производители и потребители. В първия случай става въпрос за  ограничаване на доходите, а с това и на свободата на  производителите /как, колко и  къде да влагат своите капитали/, а във втория – за създаване на определена зависимост на потребителите  /които не са участници в пазарния процес/ от институциите и държавата като цяло. Независимо от тези странични ефекти СП и най-вече държавната СП служи като коректив на “несправедливото” първично разпределение и възстановява справедливостта чрез извършваните многопосочни преразпределителни процеси. На основата на такова разбиране за същността на СП  много често тя се нарича  “политика на преразпределението”.</w:t>
      </w:r>
    </w:p>
    <w:p>
      <w:pPr>
        <w:pStyle w:val="Normal"/>
        <w:ind w:firstLine="708"/>
        <w:jc w:val="both"/>
        <w:rPr/>
      </w:pPr>
      <w:r>
        <w:rPr>
          <w:b/>
          <w:sz w:val="22"/>
          <w:szCs w:val="22"/>
          <w:lang w:val="bg-BG"/>
        </w:rPr>
        <w:t xml:space="preserve">2. Преразпределителна – </w:t>
      </w:r>
      <w:r>
        <w:rPr>
          <w:sz w:val="22"/>
          <w:szCs w:val="22"/>
          <w:lang w:val="bg-BG"/>
        </w:rPr>
        <w:t>действието на пазара не е “справедливо”, поне що се отнася до онези, които  не са участнизци в трудовия процес. По обективни причини децата, болните, инвалидите, възрастните и безработните не участват във функционалното разпределение на  доходите.  ПРедоставянето на  необходимите им доходи става по пътя на преразпределението или, което е същото, по пътя на вторичното разпределение на доходите. Тъй като моралните, хуманните, религиозните и други принципи наред с пазарните са недостатъчни да извършат преразпределението, с това се занимава държавата независимо от властващата политическа сила. Важна функция, тъй като чрез нея се гарантират средства за осъществяване на защитни мерки, но и защото те в най-голяма степен са израз на солидарността, справедливостта и равноправието в обществото. Тази функция има отношение към разпределението на жизненото положение на  хората, а не само на техните доходи.</w:t>
      </w:r>
    </w:p>
    <w:p>
      <w:pPr>
        <w:pStyle w:val="Normal"/>
        <w:ind w:firstLine="708"/>
        <w:jc w:val="both"/>
        <w:rPr/>
      </w:pPr>
      <w:r>
        <w:rPr>
          <w:b/>
          <w:sz w:val="22"/>
          <w:szCs w:val="22"/>
          <w:lang w:val="bg-BG"/>
        </w:rPr>
        <w:t>4.</w:t>
      </w:r>
      <w:r>
        <w:rPr>
          <w:sz w:val="22"/>
          <w:szCs w:val="22"/>
          <w:lang w:val="bg-BG"/>
        </w:rPr>
        <w:t xml:space="preserve"> </w:t>
      </w:r>
      <w:r>
        <w:rPr>
          <w:b/>
          <w:sz w:val="22"/>
          <w:szCs w:val="22"/>
          <w:lang w:val="bg-BG"/>
        </w:rPr>
        <w:t>Производствено-икономическа</w:t>
      </w:r>
      <w:r>
        <w:rPr>
          <w:sz w:val="22"/>
          <w:szCs w:val="22"/>
          <w:lang w:val="bg-BG"/>
        </w:rPr>
        <w:t xml:space="preserve"> – СП осъществява преки и косвени въздействия върху икономиката – чрез оценяване на човека и човешкия му капитал от гл.т. на трудовия процес и от гл.т. на неговите  трудови възможности /годност, способност и готовност за труд/. Оценява човешкия капитал като основен фактор на трудовия процес и на общественото развитие.</w:t>
      </w:r>
    </w:p>
    <w:p>
      <w:pPr>
        <w:pStyle w:val="Normal"/>
        <w:ind w:firstLine="708"/>
        <w:jc w:val="both"/>
        <w:rPr/>
      </w:pPr>
      <w:r>
        <w:rPr>
          <w:b/>
          <w:sz w:val="22"/>
          <w:szCs w:val="22"/>
          <w:lang w:val="bg-BG"/>
        </w:rPr>
        <w:t>5.</w:t>
      </w:r>
      <w:r>
        <w:rPr>
          <w:sz w:val="22"/>
          <w:szCs w:val="22"/>
          <w:lang w:val="bg-BG"/>
        </w:rPr>
        <w:t xml:space="preserve"> </w:t>
      </w:r>
      <w:r>
        <w:rPr>
          <w:b/>
          <w:sz w:val="22"/>
          <w:szCs w:val="22"/>
          <w:lang w:val="bg-BG"/>
        </w:rPr>
        <w:t xml:space="preserve">Обществено – политическа </w:t>
      </w:r>
      <w:r>
        <w:rPr>
          <w:sz w:val="22"/>
          <w:szCs w:val="22"/>
          <w:lang w:val="bg-BG"/>
        </w:rPr>
        <w:t>– СП има за цел да регулира неравенствата в обществата и да гарантира  социалния мир. в своя развой СП се превръща от системостабилизираща в системопреобразуваща. Един от най-важните изрази на тази функция е преобразуването на  социалната структура на обществото. В зависимост от характера и целите си СП може да предизвика разместване на съществуващите  класи и социални групи, да съдейства за тяхното сцепление в името на общонационални интереси и ценности или  да въздейства дезинтегриращо.</w:t>
      </w:r>
    </w:p>
    <w:p>
      <w:pPr>
        <w:pStyle w:val="Normal"/>
        <w:ind w:firstLine="708"/>
        <w:jc w:val="both"/>
        <w:rPr>
          <w:sz w:val="22"/>
          <w:szCs w:val="22"/>
          <w:lang w:val="bg-BG"/>
        </w:rPr>
      </w:pPr>
      <w:r>
        <w:rPr>
          <w:sz w:val="22"/>
          <w:szCs w:val="22"/>
          <w:lang w:val="bg-BG"/>
        </w:rPr>
      </w:r>
    </w:p>
    <w:p>
      <w:pPr>
        <w:pStyle w:val="Normal"/>
        <w:ind w:firstLine="708"/>
        <w:jc w:val="both"/>
        <w:rPr>
          <w:sz w:val="22"/>
          <w:szCs w:val="22"/>
          <w:lang w:val="bg-BG"/>
        </w:rPr>
      </w:pPr>
      <w:r>
        <w:rPr>
          <w:sz w:val="22"/>
          <w:szCs w:val="22"/>
          <w:lang w:val="bg-BG"/>
        </w:rPr>
      </w:r>
    </w:p>
    <w:p>
      <w:pPr>
        <w:pStyle w:val="Normal"/>
        <w:ind w:left="360" w:hanging="0"/>
        <w:jc w:val="both"/>
        <w:rPr>
          <w:sz w:val="22"/>
          <w:szCs w:val="22"/>
          <w:lang w:val="bg-BG"/>
        </w:rPr>
      </w:pPr>
      <w:r>
        <w:rPr>
          <w:sz w:val="22"/>
          <w:szCs w:val="22"/>
          <w:lang w:val="bg-BG"/>
        </w:rPr>
        <w:t>.</w:t>
      </w:r>
    </w:p>
    <w:p>
      <w:pPr>
        <w:pStyle w:val="Normal"/>
        <w:ind w:left="360" w:firstLine="360"/>
        <w:jc w:val="both"/>
        <w:rPr/>
      </w:pPr>
      <w:r>
        <w:rPr>
          <w:b/>
          <w:i/>
          <w:sz w:val="22"/>
          <w:szCs w:val="22"/>
          <w:lang w:val="bg-BG"/>
        </w:rPr>
        <w:t>Функциите на СП като наука</w:t>
      </w:r>
      <w:r>
        <w:rPr>
          <w:b/>
          <w:sz w:val="22"/>
          <w:szCs w:val="22"/>
          <w:lang w:val="bg-BG"/>
        </w:rPr>
        <w:t xml:space="preserve"> са следните</w:t>
      </w:r>
      <w:r>
        <w:rPr>
          <w:sz w:val="22"/>
          <w:szCs w:val="22"/>
          <w:lang w:val="bg-BG"/>
        </w:rPr>
        <w:t>:</w:t>
      </w:r>
    </w:p>
    <w:p>
      <w:pPr>
        <w:pStyle w:val="Normal"/>
        <w:ind w:firstLine="360"/>
        <w:jc w:val="both"/>
        <w:rPr/>
      </w:pPr>
      <w:r>
        <w:rPr>
          <w:b/>
          <w:sz w:val="22"/>
          <w:szCs w:val="22"/>
          <w:lang w:val="bg-BG"/>
        </w:rPr>
        <w:t>1. Индикаторна</w:t>
      </w:r>
      <w:r>
        <w:rPr>
          <w:sz w:val="22"/>
          <w:szCs w:val="22"/>
          <w:lang w:val="bg-BG"/>
        </w:rPr>
        <w:t xml:space="preserve"> -  изразява се в  определяне, идентифициране на  социалните отношения, на социалните проблеми и конфликти, на социалните ситуации.;</w:t>
      </w:r>
    </w:p>
    <w:p>
      <w:pPr>
        <w:pStyle w:val="Normal"/>
        <w:ind w:firstLine="360"/>
        <w:jc w:val="both"/>
        <w:rPr/>
      </w:pPr>
      <w:r>
        <w:rPr>
          <w:b/>
          <w:sz w:val="22"/>
          <w:szCs w:val="22"/>
          <w:lang w:val="bg-BG"/>
        </w:rPr>
        <w:t>2. Аналитична</w:t>
      </w:r>
      <w:r>
        <w:rPr>
          <w:sz w:val="22"/>
          <w:szCs w:val="22"/>
          <w:lang w:val="bg-BG"/>
        </w:rPr>
        <w:t xml:space="preserve"> – отнася се  до изследване на социалните отношения и проблеми, разкриване на причинно-следствените връзки за тяхното проявление;</w:t>
      </w:r>
    </w:p>
    <w:p>
      <w:pPr>
        <w:pStyle w:val="Normal"/>
        <w:ind w:firstLine="360"/>
        <w:jc w:val="both"/>
        <w:rPr/>
      </w:pPr>
      <w:r>
        <w:rPr>
          <w:b/>
          <w:sz w:val="22"/>
          <w:szCs w:val="22"/>
          <w:lang w:val="bg-BG"/>
        </w:rPr>
        <w:t>3. Обобщаваща</w:t>
      </w:r>
      <w:r>
        <w:rPr>
          <w:sz w:val="22"/>
          <w:szCs w:val="22"/>
          <w:lang w:val="bg-BG"/>
        </w:rPr>
        <w:t xml:space="preserve"> -  върху основата на  теоретичен и емпиричен анализ СП прави своите  обобщения, извлича закономерности и предоставя препоръки за практиката.;</w:t>
      </w:r>
    </w:p>
    <w:p>
      <w:pPr>
        <w:pStyle w:val="Normal"/>
        <w:ind w:firstLine="360"/>
        <w:jc w:val="both"/>
        <w:rPr/>
      </w:pPr>
      <w:r>
        <w:rPr>
          <w:b/>
          <w:sz w:val="22"/>
          <w:szCs w:val="22"/>
          <w:lang w:val="bg-BG"/>
        </w:rPr>
        <w:t>4. Проектираща</w:t>
      </w:r>
      <w:r>
        <w:rPr>
          <w:sz w:val="22"/>
          <w:szCs w:val="22"/>
          <w:lang w:val="bg-BG"/>
        </w:rPr>
        <w:t xml:space="preserve"> – свързана е с разработване на  планове, програми и др. целящи  промени в социалната област.</w:t>
      </w:r>
    </w:p>
    <w:p>
      <w:pPr>
        <w:pStyle w:val="Normal"/>
        <w:ind w:firstLine="360"/>
        <w:jc w:val="both"/>
        <w:rPr>
          <w:sz w:val="22"/>
          <w:szCs w:val="22"/>
          <w:lang w:val="bg-BG"/>
        </w:rPr>
      </w:pPr>
      <w:r>
        <w:rPr>
          <w:sz w:val="22"/>
          <w:szCs w:val="22"/>
          <w:lang w:val="bg-BG"/>
        </w:rPr>
      </w:r>
    </w:p>
    <w:p>
      <w:pPr>
        <w:pStyle w:val="Normal"/>
        <w:ind w:left="360" w:hanging="0"/>
        <w:jc w:val="both"/>
        <w:rPr>
          <w:b/>
          <w:b/>
          <w:sz w:val="22"/>
          <w:szCs w:val="22"/>
          <w:lang w:val="bg-BG"/>
        </w:rPr>
      </w:pPr>
      <w:r>
        <w:rPr>
          <w:b/>
          <w:sz w:val="22"/>
          <w:szCs w:val="22"/>
          <w:lang w:val="bg-BG"/>
        </w:rPr>
      </w:r>
    </w:p>
    <w:p>
      <w:pPr>
        <w:pStyle w:val="Normal"/>
        <w:ind w:firstLine="708"/>
        <w:jc w:val="both"/>
        <w:rPr>
          <w:sz w:val="22"/>
          <w:szCs w:val="22"/>
          <w:lang w:val="bg-BG"/>
        </w:rPr>
      </w:pPr>
      <w:r>
        <w:rPr>
          <w:sz w:val="22"/>
          <w:szCs w:val="22"/>
          <w:lang w:val="bg-BG"/>
        </w:rPr>
        <w:t xml:space="preserve">4. </w:t>
      </w:r>
      <w:r>
        <w:rPr>
          <w:b/>
          <w:sz w:val="22"/>
          <w:szCs w:val="22"/>
          <w:lang w:val="bg-BG"/>
        </w:rPr>
        <w:t>Субекти и обекти на СП</w:t>
      </w:r>
    </w:p>
    <w:p>
      <w:pPr>
        <w:pStyle w:val="Normal"/>
        <w:ind w:firstLine="708"/>
        <w:jc w:val="both"/>
        <w:rPr>
          <w:sz w:val="22"/>
          <w:szCs w:val="22"/>
          <w:lang w:val="bg-BG"/>
        </w:rPr>
      </w:pPr>
      <w:r>
        <w:rPr>
          <w:sz w:val="22"/>
          <w:szCs w:val="22"/>
          <w:lang w:val="bg-BG"/>
        </w:rPr>
      </w:r>
    </w:p>
    <w:p>
      <w:pPr>
        <w:pStyle w:val="Normal"/>
        <w:ind w:firstLine="708"/>
        <w:jc w:val="both"/>
        <w:rPr/>
      </w:pPr>
      <w:r>
        <w:rPr>
          <w:b/>
          <w:sz w:val="22"/>
          <w:szCs w:val="22"/>
          <w:lang w:val="bg-BG"/>
        </w:rPr>
        <w:t xml:space="preserve">Субекти на СП – това са </w:t>
      </w:r>
      <w:r>
        <w:rPr>
          <w:sz w:val="22"/>
          <w:szCs w:val="22"/>
          <w:lang w:val="bg-BG"/>
        </w:rPr>
        <w:t xml:space="preserve">държавен апарат /институции и организации/, общински служби, корпоративен мениджмънт, НПО /асоциации, фондации, благотворителни организации, религиозни институции и др./. Намесата на властта в социалната сфера произтича от това, че пазарът не е в състояние да реализира потребности на всички членове на обществото /колективни или публични блага – стоки  и услуги/, които не се реализират чрез пряка продажба на индивидуалните потребители, а стават грижа на държавната власт, поради фактори като възраст, здравословен статус /болест, инвалидност, смърт/, образователен статус, трудов статус /не/заетост, жилищни условия, международни стандарти и пр. </w:t>
      </w:r>
    </w:p>
    <w:p>
      <w:pPr>
        <w:pStyle w:val="Normal"/>
        <w:ind w:firstLine="708"/>
        <w:jc w:val="both"/>
        <w:rPr/>
      </w:pPr>
      <w:r>
        <w:rPr>
          <w:b/>
          <w:sz w:val="22"/>
          <w:szCs w:val="22"/>
          <w:lang w:val="bg-BG"/>
        </w:rPr>
        <w:t xml:space="preserve">Обекти на СП – </w:t>
      </w:r>
      <w:r>
        <w:rPr>
          <w:sz w:val="22"/>
          <w:szCs w:val="22"/>
          <w:lang w:val="bg-BG"/>
        </w:rPr>
        <w:t>индивиди, социални групи /рискови/, общности /семейства, домакинства, етнически, религиозни, професионални и пр./, цялото общество.</w:t>
      </w:r>
    </w:p>
    <w:p>
      <w:pPr>
        <w:pStyle w:val="Normal"/>
        <w:ind w:firstLine="708"/>
        <w:jc w:val="both"/>
        <w:rPr/>
      </w:pPr>
      <w:r>
        <w:rPr>
          <w:b/>
          <w:sz w:val="22"/>
          <w:szCs w:val="22"/>
          <w:lang w:val="bg-BG"/>
        </w:rPr>
        <w:t xml:space="preserve">Семейството </w:t>
      </w:r>
      <w:r>
        <w:rPr>
          <w:sz w:val="22"/>
          <w:szCs w:val="22"/>
          <w:lang w:val="bg-BG"/>
        </w:rPr>
        <w:t>– основната относително устойчива малка социална група в обществото, включваща родителите, свързани чрез брак /или в съвместно съжителство/ и техните несемейни деца. Според Гари Бекър семейството е мултиперсонална производствена единица, буквално произвеждаща “обща полезност”  с помощта на разходи, състоящи се от времето, уменията и познанията на различните членове на семейството. Става обект на социалнополитическо регулиране между двете световни войни. Причината е поощряване на намаления след І св.в. естествен прираст на населението. Системата за семейни и детски надбавки получава бързо разпространение в Западния свят особено след ІІ св.в.</w:t>
      </w:r>
    </w:p>
    <w:p>
      <w:pPr>
        <w:pStyle w:val="Normal"/>
        <w:ind w:firstLine="708"/>
        <w:jc w:val="both"/>
        <w:rPr/>
      </w:pPr>
      <w:r>
        <w:rPr>
          <w:b/>
          <w:sz w:val="22"/>
          <w:szCs w:val="22"/>
          <w:lang w:val="bg-BG"/>
        </w:rPr>
        <w:t xml:space="preserve">Жените и децата </w:t>
      </w:r>
      <w:r>
        <w:rPr>
          <w:sz w:val="22"/>
          <w:szCs w:val="22"/>
          <w:lang w:val="bg-BG"/>
        </w:rPr>
        <w:t>– стават обект на социалнополитическа регулация след І св.в. За това в голяма степен спомагат конвенциите на МОТ относно: закрилата на майчинството/1919/, нощния труд на жените /1919/, минималната възраст  за работа в индустрията /1919/, нощния труд на децата в индустрията /1919/ и т.н. След ІІ св.в. и особено от средата на 50 г. на ХХ в. в Скандинавските страни, поради засиленото желание на жените да работят, те застават във фокуса на вниманието на социалната държава.</w:t>
      </w:r>
    </w:p>
    <w:p>
      <w:pPr>
        <w:pStyle w:val="Normal"/>
        <w:ind w:firstLine="708"/>
        <w:jc w:val="both"/>
        <w:rPr/>
      </w:pPr>
      <w:r>
        <w:rPr>
          <w:b/>
          <w:sz w:val="22"/>
          <w:szCs w:val="22"/>
          <w:lang w:val="bg-BG"/>
        </w:rPr>
        <w:t>Жизненоважните обществени услуги /пътища, училища, музеи, евтини жилища и т</w:t>
      </w:r>
      <w:r>
        <w:rPr>
          <w:sz w:val="22"/>
          <w:szCs w:val="22"/>
          <w:lang w:val="bg-BG"/>
        </w:rPr>
        <w:t>.н./. Те също са приоритетна област на СП на всяка цивилизована страна. От тях държавата днес се нуждае все повече, но за съжаление тя /която и да е високоразвита държава днес/ страда от недостиг на средства заради “общоприетия принцип”, че единствено частния сектор е генератор на богатство, а прогресивното данъчно облагане  убива икономическите стимули. В резултат получава се общество, в което  се съвместява изобилието в частния сектор и мизерията в обществената сфера. Л.Търоу заявява че инвестициите в обществената сфера оказват 2 изключително сериозни въздействия върху благосъстоянието 1. “те само  по себе си са разновидност на благосъстоянието. 2. те превръщат инвестициите в частния сектор в по-доходни  и  повишават стойността на частните средства за производство”.</w:t>
      </w:r>
    </w:p>
    <w:p>
      <w:pPr>
        <w:pStyle w:val="Normal"/>
        <w:ind w:firstLine="708"/>
        <w:jc w:val="both"/>
        <w:rPr>
          <w:b/>
          <w:b/>
          <w:sz w:val="22"/>
          <w:szCs w:val="22"/>
          <w:lang w:val="bg-BG"/>
        </w:rPr>
      </w:pPr>
      <w:r>
        <w:rPr>
          <w:b/>
          <w:sz w:val="22"/>
          <w:szCs w:val="22"/>
          <w:lang w:val="bg-BG"/>
        </w:rPr>
      </w:r>
    </w:p>
    <w:p>
      <w:pPr>
        <w:pStyle w:val="Normal"/>
        <w:ind w:firstLine="708"/>
        <w:jc w:val="both"/>
        <w:rPr>
          <w:sz w:val="22"/>
          <w:szCs w:val="22"/>
          <w:lang w:val="bg-BG"/>
        </w:rPr>
      </w:pPr>
      <w:r>
        <w:rPr>
          <w:b/>
          <w:sz w:val="22"/>
          <w:szCs w:val="22"/>
          <w:lang w:val="bg-BG"/>
        </w:rPr>
        <w:t>5. Форми на СП</w:t>
      </w:r>
    </w:p>
    <w:p>
      <w:pPr>
        <w:pStyle w:val="Normal"/>
        <w:ind w:firstLine="708"/>
        <w:jc w:val="both"/>
        <w:rPr>
          <w:sz w:val="22"/>
          <w:szCs w:val="22"/>
          <w:lang w:val="bg-BG"/>
        </w:rPr>
      </w:pPr>
      <w:r>
        <w:rPr>
          <w:sz w:val="22"/>
          <w:szCs w:val="22"/>
          <w:lang w:val="bg-BG"/>
        </w:rPr>
        <w:t>В научната литература са известни две основни  форми – активна и пасивна  СП</w:t>
      </w:r>
    </w:p>
    <w:p>
      <w:pPr>
        <w:pStyle w:val="Normal"/>
        <w:ind w:firstLine="708"/>
        <w:jc w:val="both"/>
        <w:rPr/>
      </w:pPr>
      <w:r>
        <w:rPr>
          <w:b/>
          <w:sz w:val="22"/>
          <w:szCs w:val="22"/>
          <w:lang w:val="bg-BG"/>
        </w:rPr>
        <w:t xml:space="preserve">Активна СП – </w:t>
      </w:r>
      <w:r>
        <w:rPr>
          <w:sz w:val="22"/>
          <w:szCs w:val="22"/>
          <w:lang w:val="bg-BG"/>
        </w:rPr>
        <w:t>това са дейности, чрез които превантивно се защитават  индивидите и социалните групи от предстоящи  социални рискове. Например, СП за стимулиране на заетостта и ограничаване на  безработицата / курсове за квалификация и преквалификация преди и след настъпване на социалния риск безработица/; СП  за регулиране на безопасни и здравословни  условия на труд; СП свързана с първа и втора социално-защитна мрежа -  социалното осигуряване и социалното подпомагане.</w:t>
      </w:r>
    </w:p>
    <w:p>
      <w:pPr>
        <w:pStyle w:val="Normal"/>
        <w:ind w:firstLine="708"/>
        <w:jc w:val="both"/>
        <w:rPr/>
      </w:pPr>
      <w:r>
        <w:rPr>
          <w:b/>
          <w:sz w:val="22"/>
          <w:szCs w:val="22"/>
          <w:lang w:val="bg-BG"/>
        </w:rPr>
        <w:t>Пасивната СП –</w:t>
      </w:r>
      <w:r>
        <w:rPr>
          <w:sz w:val="22"/>
          <w:szCs w:val="22"/>
          <w:lang w:val="bg-BG"/>
        </w:rPr>
        <w:t xml:space="preserve"> е политиката, която следва сбъдналите се рискове /събития/. Нарича се последваща, след настъпването на социалните рискове. Включва дейностите по социалното осигуряване и социалното подпомагане.</w:t>
      </w:r>
    </w:p>
    <w:p>
      <w:pPr>
        <w:pStyle w:val="Normal"/>
        <w:ind w:left="360" w:hanging="0"/>
        <w:jc w:val="both"/>
        <w:rPr>
          <w:b/>
          <w:b/>
          <w:sz w:val="22"/>
          <w:szCs w:val="22"/>
          <w:lang w:val="bg-BG"/>
        </w:rPr>
      </w:pPr>
      <w:r>
        <w:rPr>
          <w:b/>
          <w:sz w:val="22"/>
          <w:szCs w:val="22"/>
          <w:lang w:val="bg-BG"/>
        </w:rPr>
      </w:r>
    </w:p>
    <w:p>
      <w:pPr>
        <w:pStyle w:val="Normal"/>
        <w:jc w:val="both"/>
        <w:rPr>
          <w:sz w:val="22"/>
          <w:szCs w:val="22"/>
          <w:lang w:val="ru-RU"/>
        </w:rPr>
      </w:pPr>
      <w:r>
        <w:rPr>
          <w:sz w:val="22"/>
          <w:szCs w:val="22"/>
          <w:lang w:val="ru-RU"/>
        </w:rPr>
        <w:tab/>
        <w:t xml:space="preserve">6. </w:t>
      </w:r>
      <w:r>
        <w:rPr>
          <w:b/>
          <w:sz w:val="22"/>
          <w:szCs w:val="22"/>
          <w:lang w:val="bg-BG"/>
        </w:rPr>
        <w:t xml:space="preserve">Основни срезове на СП </w:t>
      </w:r>
    </w:p>
    <w:p>
      <w:pPr>
        <w:pStyle w:val="Normal"/>
        <w:jc w:val="both"/>
        <w:rPr>
          <w:sz w:val="22"/>
          <w:szCs w:val="22"/>
          <w:lang w:val="ru-RU"/>
        </w:rPr>
      </w:pPr>
      <w:r>
        <w:rPr>
          <w:sz w:val="22"/>
          <w:szCs w:val="22"/>
          <w:lang w:val="bg-BG"/>
        </w:rPr>
        <w:t>Ако разглеждаме СП като цялост, ще се опитаме да конкретизираме  следните фундаментални среза:</w:t>
      </w:r>
    </w:p>
    <w:p>
      <w:pPr>
        <w:pStyle w:val="Normal"/>
        <w:jc w:val="both"/>
        <w:rPr/>
      </w:pPr>
      <w:r>
        <w:rPr>
          <w:sz w:val="22"/>
          <w:szCs w:val="22"/>
          <w:lang w:val="ru-RU"/>
        </w:rPr>
        <w:t xml:space="preserve"> </w:t>
      </w:r>
      <w:r>
        <w:rPr>
          <w:sz w:val="22"/>
          <w:szCs w:val="22"/>
          <w:lang w:val="ru-RU"/>
        </w:rPr>
        <w:tab/>
      </w:r>
      <w:r>
        <w:rPr>
          <w:b/>
          <w:sz w:val="22"/>
          <w:szCs w:val="22"/>
          <w:lang w:val="bg-BG"/>
        </w:rPr>
        <w:t>Онтологичен –</w:t>
      </w:r>
      <w:r>
        <w:rPr>
          <w:sz w:val="22"/>
          <w:szCs w:val="22"/>
          <w:lang w:val="bg-BG"/>
        </w:rPr>
        <w:t xml:space="preserve"> този срез отговаря на въпроса </w:t>
      </w:r>
      <w:r>
        <w:rPr>
          <w:i/>
          <w:sz w:val="22"/>
          <w:szCs w:val="22"/>
          <w:lang w:val="bg-BG"/>
        </w:rPr>
        <w:t>Какво е това?</w:t>
      </w:r>
      <w:r>
        <w:rPr>
          <w:sz w:val="22"/>
          <w:szCs w:val="22"/>
          <w:lang w:val="bg-BG"/>
        </w:rPr>
        <w:t xml:space="preserve"> СП се разглежда като</w:t>
      </w:r>
    </w:p>
    <w:p>
      <w:pPr>
        <w:pStyle w:val="Normal"/>
        <w:jc w:val="both"/>
        <w:rPr>
          <w:sz w:val="22"/>
          <w:szCs w:val="22"/>
          <w:lang w:val="ru-RU"/>
        </w:rPr>
      </w:pPr>
      <w:r>
        <w:rPr>
          <w:sz w:val="22"/>
          <w:szCs w:val="22"/>
          <w:lang w:val="bg-BG"/>
        </w:rPr>
        <w:t>1.</w:t>
      </w:r>
      <w:r>
        <w:rPr>
          <w:b/>
          <w:sz w:val="22"/>
          <w:szCs w:val="22"/>
          <w:lang w:val="bg-BG"/>
        </w:rPr>
        <w:t>Теория</w:t>
      </w:r>
      <w:r>
        <w:rPr>
          <w:sz w:val="22"/>
          <w:szCs w:val="22"/>
          <w:lang w:val="bg-BG"/>
        </w:rPr>
        <w:t xml:space="preserve"> на СП /наука/ - включва  общите методологически въпроси на СП – изходни понятия и категории, функции и цели;</w:t>
      </w:r>
    </w:p>
    <w:p>
      <w:pPr>
        <w:pStyle w:val="Normal"/>
        <w:jc w:val="both"/>
        <w:rPr>
          <w:sz w:val="22"/>
          <w:szCs w:val="22"/>
          <w:lang w:val="ru-RU"/>
        </w:rPr>
      </w:pPr>
      <w:r>
        <w:rPr>
          <w:sz w:val="22"/>
          <w:szCs w:val="22"/>
          <w:lang w:val="ru-RU"/>
        </w:rPr>
        <w:t xml:space="preserve">2. </w:t>
      </w:r>
      <w:r>
        <w:rPr>
          <w:sz w:val="22"/>
          <w:szCs w:val="22"/>
          <w:lang w:val="bg-BG"/>
        </w:rPr>
        <w:t xml:space="preserve">СП като </w:t>
      </w:r>
      <w:r>
        <w:rPr>
          <w:b/>
          <w:sz w:val="22"/>
          <w:szCs w:val="22"/>
          <w:lang w:val="bg-BG"/>
        </w:rPr>
        <w:t>практика</w:t>
      </w:r>
      <w:r>
        <w:rPr>
          <w:sz w:val="22"/>
          <w:szCs w:val="22"/>
          <w:lang w:val="bg-BG"/>
        </w:rPr>
        <w:t xml:space="preserve"> – представлява реализирането на конкретни публични дейности  по задоволяване на конкретни потребности в обществото от държавни, частни нестопански органи и фондации;</w:t>
      </w:r>
    </w:p>
    <w:p>
      <w:pPr>
        <w:pStyle w:val="Normal"/>
        <w:jc w:val="both"/>
        <w:rPr>
          <w:sz w:val="22"/>
          <w:szCs w:val="22"/>
          <w:lang w:val="ru-RU"/>
        </w:rPr>
      </w:pPr>
      <w:r>
        <w:rPr>
          <w:sz w:val="22"/>
          <w:szCs w:val="22"/>
          <w:lang w:val="ru-RU"/>
        </w:rPr>
        <w:t xml:space="preserve">3. </w:t>
      </w:r>
      <w:r>
        <w:rPr>
          <w:b/>
          <w:sz w:val="22"/>
          <w:szCs w:val="22"/>
          <w:lang w:val="bg-BG"/>
        </w:rPr>
        <w:t>Методика</w:t>
      </w:r>
      <w:r>
        <w:rPr>
          <w:sz w:val="22"/>
          <w:szCs w:val="22"/>
          <w:lang w:val="bg-BG"/>
        </w:rPr>
        <w:t xml:space="preserve"> – като свързващо звено между теоретичната и практическата СП стои методиката. Включва основни методологически постановки,  като например исторически анализи на СП, определяне и изучаване на заетостта и безработицата, подоходната политика, осигурителната политика, подпомагащата политика, основни принципи на СП в аспекта на  европейските стандарти и пр.</w:t>
      </w:r>
    </w:p>
    <w:p>
      <w:pPr>
        <w:pStyle w:val="Normal"/>
        <w:jc w:val="both"/>
        <w:rPr>
          <w:sz w:val="22"/>
          <w:szCs w:val="22"/>
          <w:lang w:val="ru-RU"/>
        </w:rPr>
      </w:pPr>
      <w:r>
        <w:rPr>
          <w:sz w:val="22"/>
          <w:szCs w:val="22"/>
          <w:lang w:val="ru-RU"/>
        </w:rPr>
      </w:r>
    </w:p>
    <w:p>
      <w:pPr>
        <w:pStyle w:val="Normal"/>
        <w:jc w:val="both"/>
        <w:rPr>
          <w:sz w:val="22"/>
          <w:szCs w:val="22"/>
          <w:lang w:val="ru-RU"/>
        </w:rPr>
      </w:pPr>
      <w:r>
        <w:rPr>
          <w:b/>
          <w:sz w:val="22"/>
          <w:szCs w:val="22"/>
          <w:lang w:val="bg-BG"/>
        </w:rPr>
        <w:tab/>
        <w:t xml:space="preserve">Пространствен – </w:t>
      </w:r>
      <w:r>
        <w:rPr>
          <w:sz w:val="22"/>
          <w:szCs w:val="22"/>
          <w:lang w:val="bg-BG"/>
        </w:rPr>
        <w:t xml:space="preserve">този срез отговаря на въпроса </w:t>
      </w:r>
      <w:r>
        <w:rPr>
          <w:i/>
          <w:sz w:val="22"/>
          <w:szCs w:val="22"/>
          <w:lang w:val="bg-BG"/>
        </w:rPr>
        <w:t>Къде е това?,</w:t>
      </w:r>
      <w:r>
        <w:rPr>
          <w:sz w:val="22"/>
          <w:szCs w:val="22"/>
          <w:lang w:val="bg-BG"/>
        </w:rPr>
        <w:t xml:space="preserve"> който включва:</w:t>
      </w:r>
    </w:p>
    <w:p>
      <w:pPr>
        <w:pStyle w:val="Normal"/>
        <w:jc w:val="both"/>
        <w:rPr>
          <w:sz w:val="22"/>
          <w:szCs w:val="22"/>
          <w:lang w:val="ru-RU"/>
        </w:rPr>
      </w:pPr>
      <w:r>
        <w:rPr>
          <w:sz w:val="22"/>
          <w:szCs w:val="22"/>
          <w:lang w:val="ru-RU"/>
        </w:rPr>
      </w:r>
    </w:p>
    <w:p>
      <w:pPr>
        <w:pStyle w:val="Normal"/>
        <w:jc w:val="both"/>
        <w:rPr/>
      </w:pPr>
      <w:r>
        <w:rPr>
          <w:b/>
          <w:sz w:val="22"/>
          <w:szCs w:val="22"/>
          <w:lang w:val="bg-BG"/>
        </w:rPr>
        <w:t>1.</w:t>
      </w:r>
      <w:r>
        <w:rPr>
          <w:sz w:val="22"/>
          <w:szCs w:val="22"/>
          <w:lang w:val="bg-BG"/>
        </w:rPr>
        <w:t xml:space="preserve"> </w:t>
      </w:r>
      <w:r>
        <w:rPr>
          <w:b/>
          <w:sz w:val="22"/>
          <w:szCs w:val="22"/>
          <w:lang w:val="bg-BG"/>
        </w:rPr>
        <w:t>Ляво ориентирана СП</w:t>
      </w:r>
      <w:r>
        <w:rPr>
          <w:sz w:val="22"/>
          <w:szCs w:val="22"/>
          <w:lang w:val="bg-BG"/>
        </w:rPr>
        <w:t xml:space="preserve"> – или СП на леви позиции. Тази политика пледира за относително изравняване на потреблението посредством осъществяваното от държавата вторично разпределение на доходите чрез данъчното облагане. Изходен пункт  на тази политика са нормите за потребление, които трябва  да бъдат осигурени и за тези лица, които не са ги постигнали.</w:t>
      </w:r>
    </w:p>
    <w:p>
      <w:pPr>
        <w:pStyle w:val="Normal"/>
        <w:jc w:val="both"/>
        <w:rPr>
          <w:sz w:val="22"/>
          <w:szCs w:val="22"/>
          <w:lang w:val="ru-RU"/>
        </w:rPr>
      </w:pPr>
      <w:r>
        <w:rPr>
          <w:b/>
          <w:sz w:val="22"/>
          <w:szCs w:val="22"/>
          <w:lang w:val="bg-BG"/>
        </w:rPr>
        <w:t xml:space="preserve"> </w:t>
      </w:r>
      <w:r>
        <w:rPr>
          <w:b/>
          <w:sz w:val="22"/>
          <w:szCs w:val="22"/>
          <w:lang w:val="bg-BG"/>
        </w:rPr>
        <w:t>2. Дясно ориентирана СП –</w:t>
      </w:r>
      <w:r>
        <w:rPr>
          <w:sz w:val="22"/>
          <w:szCs w:val="22"/>
          <w:lang w:val="bg-BG"/>
        </w:rPr>
        <w:t xml:space="preserve"> при съвременната  дясноориентирана  СП /неолиберална/ намесата на  държавата се ограничава в гарантирането на законността и борбата с корупцията, което е свързано с подобряване на системите за индивидуална и колективна сигурност. Самите СП  се изпълняват  предимно на  регионално и фирмено равнище. </w:t>
      </w:r>
    </w:p>
    <w:p>
      <w:pPr>
        <w:pStyle w:val="Normal"/>
        <w:jc w:val="both"/>
        <w:rPr>
          <w:sz w:val="22"/>
          <w:szCs w:val="22"/>
          <w:lang w:val="ru-RU"/>
        </w:rPr>
      </w:pPr>
      <w:r>
        <w:rPr>
          <w:b/>
          <w:sz w:val="22"/>
          <w:szCs w:val="22"/>
          <w:lang w:val="bg-BG"/>
        </w:rPr>
        <w:t>3. Центристки ориентирана СП</w:t>
      </w:r>
      <w:r>
        <w:rPr>
          <w:sz w:val="22"/>
          <w:szCs w:val="22"/>
          <w:lang w:val="bg-BG"/>
        </w:rPr>
        <w:t xml:space="preserve"> – е СП, която се прилага в европейските страни, където държавата се намесва само в степен, доколкото е необходимо. В действие е принципът на  органичната солидарност, който се изгражда върху разумното съотношение между интересите на социалните групи.</w:t>
      </w:r>
    </w:p>
    <w:p>
      <w:pPr>
        <w:pStyle w:val="Normal"/>
        <w:jc w:val="both"/>
        <w:rPr>
          <w:sz w:val="22"/>
          <w:szCs w:val="22"/>
          <w:lang w:val="ru-RU"/>
        </w:rPr>
      </w:pPr>
      <w:r>
        <w:rPr>
          <w:sz w:val="22"/>
          <w:szCs w:val="22"/>
          <w:lang w:val="ru-RU"/>
        </w:rPr>
      </w:r>
    </w:p>
    <w:p>
      <w:pPr>
        <w:pStyle w:val="Normal"/>
        <w:jc w:val="both"/>
        <w:rPr/>
      </w:pPr>
      <w:r>
        <w:rPr>
          <w:b/>
          <w:sz w:val="22"/>
          <w:szCs w:val="22"/>
          <w:lang w:val="bg-BG"/>
        </w:rPr>
        <w:tab/>
        <w:t>Времеви –</w:t>
      </w:r>
      <w:r>
        <w:rPr>
          <w:sz w:val="22"/>
          <w:szCs w:val="22"/>
          <w:lang w:val="bg-BG"/>
        </w:rPr>
        <w:t xml:space="preserve"> този срез отговаря на въпроса </w:t>
      </w:r>
      <w:r>
        <w:rPr>
          <w:i/>
          <w:sz w:val="22"/>
          <w:szCs w:val="22"/>
          <w:lang w:val="bg-BG"/>
        </w:rPr>
        <w:t>Кога става това</w:t>
      </w:r>
      <w:r>
        <w:rPr>
          <w:sz w:val="22"/>
          <w:szCs w:val="22"/>
          <w:lang w:val="bg-BG"/>
        </w:rPr>
        <w:t xml:space="preserve">? Разделя се на </w:t>
      </w:r>
    </w:p>
    <w:p>
      <w:pPr>
        <w:pStyle w:val="Normal"/>
        <w:jc w:val="both"/>
        <w:rPr>
          <w:sz w:val="22"/>
          <w:szCs w:val="22"/>
          <w:lang w:val="ru-RU"/>
        </w:rPr>
      </w:pPr>
      <w:r>
        <w:rPr>
          <w:sz w:val="22"/>
          <w:szCs w:val="22"/>
          <w:lang w:val="ru-RU"/>
        </w:rPr>
      </w:r>
    </w:p>
    <w:p>
      <w:pPr>
        <w:pStyle w:val="Normal"/>
        <w:jc w:val="both"/>
        <w:rPr>
          <w:sz w:val="22"/>
          <w:szCs w:val="22"/>
          <w:lang w:val="ru-RU"/>
        </w:rPr>
      </w:pPr>
      <w:r>
        <w:rPr>
          <w:b/>
          <w:sz w:val="22"/>
          <w:szCs w:val="22"/>
          <w:lang w:val="bg-BG"/>
        </w:rPr>
        <w:t>1. Еднопосочна СП</w:t>
      </w:r>
      <w:r>
        <w:rPr>
          <w:sz w:val="22"/>
          <w:szCs w:val="22"/>
          <w:lang w:val="bg-BG"/>
        </w:rPr>
        <w:t xml:space="preserve">, такава СП е характерна за периода от късното  средновековие  до края на ХІХв. Тя е монистична и нерегулируема, насочена е към проблемите на бедността, за преодоляване на социалната нищета на населението. </w:t>
      </w:r>
    </w:p>
    <w:p>
      <w:pPr>
        <w:pStyle w:val="Normal"/>
        <w:jc w:val="both"/>
        <w:rPr>
          <w:sz w:val="22"/>
          <w:szCs w:val="22"/>
          <w:lang w:val="ru-RU"/>
        </w:rPr>
      </w:pPr>
      <w:r>
        <w:rPr>
          <w:b/>
          <w:sz w:val="22"/>
          <w:szCs w:val="22"/>
          <w:lang w:val="bg-BG"/>
        </w:rPr>
        <w:t>2. Двупосочна</w:t>
      </w:r>
      <w:r>
        <w:rPr>
          <w:sz w:val="22"/>
          <w:szCs w:val="22"/>
          <w:lang w:val="bg-BG"/>
        </w:rPr>
        <w:t xml:space="preserve"> – в този тип СП  участват активно 2 страни  - държава и работодатели от една страна и от друга – работещи. Налице са прави и обратни връзки между тях.</w:t>
      </w:r>
    </w:p>
    <w:p>
      <w:pPr>
        <w:pStyle w:val="Normal"/>
        <w:jc w:val="both"/>
        <w:rPr>
          <w:sz w:val="22"/>
          <w:szCs w:val="22"/>
          <w:lang w:val="ru-RU"/>
        </w:rPr>
      </w:pPr>
      <w:r>
        <w:rPr>
          <w:b/>
          <w:sz w:val="22"/>
          <w:szCs w:val="22"/>
          <w:lang w:val="bg-BG"/>
        </w:rPr>
        <w:t xml:space="preserve">3. Многопосочна </w:t>
      </w:r>
      <w:r>
        <w:rPr>
          <w:sz w:val="22"/>
          <w:szCs w:val="22"/>
          <w:lang w:val="bg-BG"/>
        </w:rPr>
        <w:t>СП – перспективен тип, очертава се за в бъдеще СП да бъде плуралистична и многомерно регулативна /период, започнал от средата на ХХ век/. Освен държавата, работодателите и работещите се включват и различни неправителствени органи и организации – фондации и асоциации и др. с благотворителни цели, за  защита на човешките  права, за инфраструктурни подобрения, срещу екологични нарушения и пр. Всички те участват във формирането на СП на различни нива.</w:t>
      </w:r>
    </w:p>
    <w:p>
      <w:pPr>
        <w:pStyle w:val="Normal"/>
        <w:jc w:val="both"/>
        <w:rPr>
          <w:sz w:val="22"/>
          <w:szCs w:val="22"/>
          <w:lang w:val="ru-RU"/>
        </w:rPr>
      </w:pPr>
      <w:r>
        <w:rPr>
          <w:sz w:val="22"/>
          <w:szCs w:val="22"/>
          <w:lang w:val="ru-RU"/>
        </w:rPr>
      </w:r>
    </w:p>
    <w:p>
      <w:pPr>
        <w:pStyle w:val="Normal"/>
        <w:jc w:val="both"/>
        <w:rPr/>
      </w:pPr>
      <w:r>
        <w:rPr>
          <w:b/>
          <w:sz w:val="22"/>
          <w:szCs w:val="22"/>
          <w:lang w:val="bg-BG"/>
        </w:rPr>
        <w:tab/>
        <w:t xml:space="preserve">Функционален – </w:t>
      </w:r>
      <w:r>
        <w:rPr>
          <w:sz w:val="22"/>
          <w:szCs w:val="22"/>
          <w:lang w:val="bg-BG"/>
        </w:rPr>
        <w:t xml:space="preserve">този срез отговаря на въпроса </w:t>
      </w:r>
      <w:r>
        <w:rPr>
          <w:i/>
          <w:sz w:val="22"/>
          <w:szCs w:val="22"/>
          <w:lang w:val="bg-BG"/>
        </w:rPr>
        <w:t>Как съществува</w:t>
      </w:r>
      <w:r>
        <w:rPr>
          <w:sz w:val="22"/>
          <w:szCs w:val="22"/>
          <w:lang w:val="bg-BG"/>
        </w:rPr>
        <w:t xml:space="preserve">?  Определя се като  </w:t>
      </w:r>
    </w:p>
    <w:p>
      <w:pPr>
        <w:pStyle w:val="Normal"/>
        <w:jc w:val="both"/>
        <w:rPr/>
      </w:pPr>
      <w:r>
        <w:rPr>
          <w:b/>
          <w:sz w:val="22"/>
          <w:szCs w:val="22"/>
          <w:lang w:val="bg-BG"/>
        </w:rPr>
        <w:t>1. Организирана  СП</w:t>
      </w:r>
      <w:r>
        <w:rPr>
          <w:sz w:val="22"/>
          <w:szCs w:val="22"/>
          <w:lang w:val="bg-BG"/>
        </w:rPr>
        <w:t xml:space="preserve"> - тук се имат предвид държавно регламентираната СП и  съответстващите институции за реализацията й; </w:t>
      </w:r>
    </w:p>
    <w:p>
      <w:pPr>
        <w:pStyle w:val="Normal"/>
        <w:jc w:val="both"/>
        <w:rPr/>
      </w:pPr>
      <w:r>
        <w:rPr>
          <w:b/>
          <w:sz w:val="22"/>
          <w:szCs w:val="22"/>
          <w:lang w:val="bg-BG"/>
        </w:rPr>
        <w:t>2. Спонтанно формирана СП</w:t>
      </w:r>
      <w:r>
        <w:rPr>
          <w:sz w:val="22"/>
          <w:szCs w:val="22"/>
          <w:lang w:val="bg-BG"/>
        </w:rPr>
        <w:t xml:space="preserve"> - имат се предвид спонтанно формиращите се активни социални мероприятия и политики във връзка със спазване на човешките права, инфраструктурни подобрения, екологични нарушения и др. </w:t>
      </w:r>
    </w:p>
    <w:p>
      <w:pPr>
        <w:pStyle w:val="Normal"/>
        <w:jc w:val="both"/>
        <w:rPr>
          <w:b/>
          <w:b/>
          <w:sz w:val="22"/>
          <w:szCs w:val="22"/>
          <w:lang w:val="bg-BG"/>
        </w:rPr>
      </w:pPr>
      <w:r>
        <w:rPr>
          <w:b/>
          <w:sz w:val="22"/>
          <w:szCs w:val="22"/>
          <w:lang w:val="bg-BG"/>
        </w:rPr>
        <w:t xml:space="preserve">3. Синергетична СП </w:t>
      </w:r>
      <w:r>
        <w:rPr>
          <w:sz w:val="22"/>
          <w:szCs w:val="22"/>
          <w:lang w:val="bg-BG"/>
        </w:rPr>
        <w:t xml:space="preserve">– тя е резултат от  връзката между двете форми – организирана и спонтанна, които предизвикват и възникването на такива социални структури като благотворителни организации, звена за взаимопомощ, НПО и др., които формират съответна политика. </w:t>
      </w:r>
    </w:p>
    <w:p>
      <w:pPr>
        <w:pStyle w:val="Normal"/>
        <w:jc w:val="both"/>
        <w:rPr>
          <w:b/>
          <w:b/>
          <w:sz w:val="22"/>
          <w:szCs w:val="22"/>
          <w:lang w:val="bg-BG"/>
        </w:rPr>
      </w:pPr>
      <w:r>
        <w:rPr>
          <w:b/>
          <w:sz w:val="22"/>
          <w:szCs w:val="22"/>
          <w:lang w:val="bg-BG"/>
        </w:rPr>
      </w:r>
    </w:p>
    <w:p>
      <w:pPr>
        <w:pStyle w:val="Normal"/>
        <w:jc w:val="both"/>
        <w:rPr/>
      </w:pPr>
      <w:r>
        <w:rPr>
          <w:b/>
          <w:sz w:val="22"/>
          <w:szCs w:val="22"/>
          <w:lang w:val="bg-BG"/>
        </w:rPr>
        <w:tab/>
        <w:t>Систематологичен срез</w:t>
      </w:r>
      <w:r>
        <w:rPr>
          <w:sz w:val="22"/>
          <w:szCs w:val="22"/>
          <w:lang w:val="bg-BG"/>
        </w:rPr>
        <w:t xml:space="preserve"> – в този срез СП се разглежда като теория на СП и се разделя на 3 типа. </w:t>
      </w:r>
    </w:p>
    <w:p>
      <w:pPr>
        <w:pStyle w:val="Normal"/>
        <w:jc w:val="both"/>
        <w:rPr/>
      </w:pPr>
      <w:r>
        <w:rPr>
          <w:b/>
          <w:sz w:val="22"/>
          <w:szCs w:val="22"/>
          <w:lang w:val="bg-BG"/>
        </w:rPr>
        <w:t>1. Рутинна СП</w:t>
      </w:r>
      <w:r>
        <w:rPr>
          <w:sz w:val="22"/>
          <w:szCs w:val="22"/>
          <w:lang w:val="bg-BG"/>
        </w:rPr>
        <w:t xml:space="preserve"> – при нея няма обвързаност между  теория и практика, както и между отделните нейни  раздели / например в областта на труда, социалната сигурност, здравеопазването/. Даваните цифри за нейно усъвършенстване за някакъв период много често не са обосновани и са лишени от смисъл.; </w:t>
      </w:r>
    </w:p>
    <w:p>
      <w:pPr>
        <w:pStyle w:val="Normal"/>
        <w:jc w:val="both"/>
        <w:rPr/>
      </w:pPr>
      <w:r>
        <w:rPr>
          <w:b/>
          <w:sz w:val="22"/>
          <w:szCs w:val="22"/>
          <w:lang w:val="bg-BG"/>
        </w:rPr>
        <w:t>2. Творческа  СП</w:t>
      </w:r>
      <w:r>
        <w:rPr>
          <w:sz w:val="22"/>
          <w:szCs w:val="22"/>
          <w:lang w:val="bg-BG"/>
        </w:rPr>
        <w:t xml:space="preserve"> – тук е установено оптимално сътрудничество между  учени и практици, съответните анализи са научно обосновани, СП е систематологична и дълбинна, а съответните показатели са реални.; </w:t>
      </w:r>
    </w:p>
    <w:p>
      <w:pPr>
        <w:pStyle w:val="Normal"/>
        <w:jc w:val="both"/>
        <w:rPr>
          <w:b/>
          <w:b/>
          <w:sz w:val="22"/>
          <w:szCs w:val="22"/>
          <w:lang w:val="bg-BG"/>
        </w:rPr>
      </w:pPr>
      <w:r>
        <w:rPr>
          <w:sz w:val="22"/>
          <w:szCs w:val="22"/>
          <w:lang w:val="bg-BG"/>
        </w:rPr>
        <w:t xml:space="preserve">3. </w:t>
      </w:r>
      <w:r>
        <w:rPr>
          <w:b/>
          <w:sz w:val="22"/>
          <w:szCs w:val="22"/>
          <w:lang w:val="bg-BG"/>
        </w:rPr>
        <w:t>Реалистична СП</w:t>
      </w:r>
      <w:r>
        <w:rPr>
          <w:sz w:val="22"/>
          <w:szCs w:val="22"/>
          <w:lang w:val="bg-BG"/>
        </w:rPr>
        <w:t xml:space="preserve"> – тя стои между двата полюса – рутинна и творческа. Тук се отчитат  характеристиките на социално-икономическата  обстановка, интересите на отделни групи, възможносттите за увеличаване на заетостта в зависимост от прогнозите за икономическото развитие на страната, възможностите за повишаване на индивидуалната и колективната сигурност и пр.</w:t>
      </w:r>
    </w:p>
    <w:p>
      <w:pPr>
        <w:pStyle w:val="Normal"/>
        <w:jc w:val="both"/>
        <w:rPr>
          <w:b/>
          <w:b/>
          <w:sz w:val="22"/>
          <w:szCs w:val="22"/>
          <w:lang w:val="bg-BG"/>
        </w:rPr>
      </w:pPr>
      <w:r>
        <w:rPr>
          <w:b/>
          <w:sz w:val="22"/>
          <w:szCs w:val="22"/>
          <w:lang w:val="bg-BG"/>
        </w:rPr>
      </w:r>
    </w:p>
    <w:p>
      <w:pPr>
        <w:pStyle w:val="Normal"/>
        <w:jc w:val="both"/>
        <w:rPr/>
      </w:pPr>
      <w:r>
        <w:rPr>
          <w:b/>
          <w:sz w:val="22"/>
          <w:szCs w:val="22"/>
          <w:lang w:val="bg-BG"/>
        </w:rPr>
        <w:tab/>
        <w:t xml:space="preserve">Практически – в </w:t>
      </w:r>
      <w:r>
        <w:rPr>
          <w:sz w:val="22"/>
          <w:szCs w:val="22"/>
          <w:lang w:val="bg-BG"/>
        </w:rPr>
        <w:t>този срез СП се разглежда като 1. Държавна СП, 2.  Регионална /общинска/ СП и 3. Фирмена СП.</w:t>
      </w:r>
    </w:p>
    <w:p>
      <w:pPr>
        <w:pStyle w:val="Normal"/>
        <w:jc w:val="both"/>
        <w:rPr>
          <w:sz w:val="22"/>
          <w:szCs w:val="22"/>
          <w:lang w:val="bg-BG"/>
        </w:rPr>
      </w:pPr>
      <w:r>
        <w:rPr>
          <w:sz w:val="22"/>
          <w:szCs w:val="22"/>
          <w:lang w:val="bg-BG"/>
        </w:rPr>
        <w:t xml:space="preserve">1. Държавна СП включва следните направления – СП в областта на труда; СП в областта на разпределителните отношения, диференциация на доходите и бедността; СП в областта на социалното осигуряване и социалното подпомагане; СП в областта на здравеопазването; СП в областта на  образованието и науката; Жилищна политика. </w:t>
      </w:r>
    </w:p>
    <w:p>
      <w:pPr>
        <w:pStyle w:val="Normal"/>
        <w:jc w:val="both"/>
        <w:rPr>
          <w:sz w:val="22"/>
          <w:szCs w:val="22"/>
          <w:lang w:val="bg-BG"/>
        </w:rPr>
      </w:pPr>
      <w:r>
        <w:rPr>
          <w:sz w:val="22"/>
          <w:szCs w:val="22"/>
          <w:lang w:val="bg-BG"/>
        </w:rPr>
        <w:t xml:space="preserve">2.  Регионална /общинска/ СП – включва следните направления – Общинска политика по заетостта; Градоустройствена политика и комунално обслужване; Политика в областта на социалното  подпомагане и обслужване; Общинска здравна политика; Политика в областта на образованието и културата; Политика по опазване на околната среда. </w:t>
      </w:r>
    </w:p>
    <w:p>
      <w:pPr>
        <w:pStyle w:val="Normal"/>
        <w:jc w:val="both"/>
        <w:rPr>
          <w:sz w:val="22"/>
          <w:szCs w:val="22"/>
          <w:lang w:val="bg-BG"/>
        </w:rPr>
      </w:pPr>
      <w:r>
        <w:rPr>
          <w:sz w:val="22"/>
          <w:szCs w:val="22"/>
          <w:lang w:val="bg-BG"/>
        </w:rPr>
        <w:t>3. Фирмена СП – включва следните направлеиня – Кадрова политика; Политики по заплащането и условията на труд; Политики за адаптиране на сътрудниците към технологични, организационни и  социални промени; Осигурителна и социално защитна политика; Политика по охраната и безопасността на труда..</w:t>
      </w:r>
    </w:p>
    <w:p>
      <w:pPr>
        <w:pStyle w:val="Normal"/>
        <w:jc w:val="both"/>
        <w:rPr>
          <w:b/>
          <w:b/>
          <w:sz w:val="22"/>
          <w:szCs w:val="22"/>
          <w:lang w:val="bg-BG"/>
        </w:rPr>
      </w:pPr>
      <w:r>
        <w:rPr>
          <w:b/>
          <w:sz w:val="22"/>
          <w:szCs w:val="22"/>
          <w:lang w:val="bg-BG"/>
        </w:rPr>
      </w:r>
    </w:p>
    <w:p>
      <w:pPr>
        <w:pStyle w:val="Normal"/>
        <w:jc w:val="both"/>
        <w:rPr>
          <w:b/>
          <w:b/>
          <w:sz w:val="22"/>
          <w:szCs w:val="22"/>
          <w:lang w:val="bg-BG"/>
        </w:rPr>
      </w:pPr>
      <w:r>
        <w:rPr>
          <w:sz w:val="22"/>
          <w:szCs w:val="22"/>
          <w:lang w:val="bg-BG"/>
        </w:rPr>
        <w:t>Този срез на СП ще изучаваме.</w:t>
      </w:r>
    </w:p>
    <w:p>
      <w:pPr>
        <w:pStyle w:val="Normal"/>
        <w:jc w:val="both"/>
        <w:rPr>
          <w:b/>
          <w:b/>
          <w:sz w:val="22"/>
          <w:szCs w:val="22"/>
          <w:lang w:val="bg-BG"/>
        </w:rPr>
      </w:pPr>
      <w:r>
        <w:rPr>
          <w:b/>
          <w:sz w:val="22"/>
          <w:szCs w:val="22"/>
          <w:lang w:val="bg-BG"/>
        </w:rPr>
      </w:r>
    </w:p>
    <w:p>
      <w:pPr>
        <w:pStyle w:val="Normal"/>
        <w:jc w:val="both"/>
        <w:rPr>
          <w:b/>
          <w:b/>
          <w:sz w:val="22"/>
          <w:szCs w:val="22"/>
          <w:lang w:val="bg-BG"/>
        </w:rPr>
      </w:pPr>
      <w:r>
        <w:rPr>
          <w:b/>
          <w:sz w:val="22"/>
          <w:szCs w:val="22"/>
          <w:lang w:val="bg-BG"/>
        </w:rPr>
        <w:t>В заключение</w:t>
      </w:r>
      <w:r>
        <w:rPr>
          <w:sz w:val="22"/>
          <w:szCs w:val="22"/>
          <w:lang w:val="bg-BG"/>
        </w:rPr>
        <w:t xml:space="preserve"> – социологическият подход към СП позволи тя да  бъде разгледана в различни срезове. Това позволява да се видят всички нейни страни в дълбочина и  ширина, да се извършват сравнения между различните модели СП, както и да се правят изводи за нейното настоящо състояние и бъдещо развитие.</w:t>
      </w:r>
    </w:p>
    <w:p>
      <w:pPr>
        <w:pStyle w:val="Normal"/>
        <w:jc w:val="both"/>
        <w:rPr>
          <w:b/>
          <w:b/>
          <w:sz w:val="22"/>
          <w:szCs w:val="22"/>
          <w:lang w:val="bg-BG"/>
        </w:rPr>
      </w:pPr>
      <w:r>
        <w:rPr>
          <w:b/>
          <w:sz w:val="22"/>
          <w:szCs w:val="22"/>
          <w:lang w:val="bg-BG"/>
        </w:rPr>
      </w:r>
    </w:p>
    <w:p>
      <w:pPr>
        <w:pStyle w:val="Normal"/>
        <w:jc w:val="both"/>
        <w:rPr>
          <w:b/>
          <w:b/>
          <w:sz w:val="22"/>
          <w:szCs w:val="22"/>
          <w:lang w:val="bg-BG"/>
        </w:rPr>
      </w:pPr>
      <w:r>
        <w:rPr>
          <w:b/>
          <w:sz w:val="22"/>
          <w:szCs w:val="22"/>
          <w:lang w:val="bg-BG"/>
        </w:rPr>
        <w:t>На студентите – самостоятелна работа по основни категории на СП – социални отношения, социално равенство, социално неравенство, социална сигурност, социална солидарност, социална справедливост, социален риск, социално събитие.</w:t>
      </w:r>
    </w:p>
    <w:p>
      <w:pPr>
        <w:pStyle w:val="Normal"/>
        <w:jc w:val="both"/>
        <w:rPr>
          <w:b/>
          <w:b/>
          <w:sz w:val="22"/>
          <w:szCs w:val="22"/>
          <w:lang w:val="bg-BG"/>
        </w:rPr>
      </w:pPr>
      <w:r>
        <w:rPr>
          <w:b/>
          <w:sz w:val="22"/>
          <w:szCs w:val="22"/>
          <w:lang w:val="bg-BG"/>
        </w:rPr>
      </w:r>
    </w:p>
    <w:p>
      <w:pPr>
        <w:pStyle w:val="Normal"/>
        <w:jc w:val="both"/>
        <w:rPr>
          <w:b/>
          <w:b/>
          <w:sz w:val="22"/>
          <w:szCs w:val="22"/>
          <w:lang w:val="bg-BG"/>
        </w:rPr>
      </w:pPr>
      <w:r>
        <w:rPr>
          <w:b/>
          <w:sz w:val="22"/>
          <w:szCs w:val="22"/>
          <w:lang w:val="bg-BG"/>
        </w:rPr>
        <w:t>Основни понятия от предметната област на СП:</w:t>
      </w:r>
    </w:p>
    <w:p>
      <w:pPr>
        <w:pStyle w:val="Normal"/>
        <w:jc w:val="both"/>
        <w:rPr/>
      </w:pPr>
      <w:r>
        <w:rPr>
          <w:b/>
          <w:sz w:val="22"/>
          <w:szCs w:val="22"/>
          <w:lang w:val="bg-BG"/>
        </w:rPr>
        <w:tab/>
        <w:t>Бедността</w:t>
      </w:r>
      <w:r>
        <w:rPr>
          <w:sz w:val="22"/>
          <w:szCs w:val="22"/>
          <w:lang w:val="bg-BG"/>
        </w:rPr>
        <w:t xml:space="preserve"> – най-големият социален проблем на човешкото общество, който поражда и появата на самата социална политика. От най-дълбока древност се предприемат мерки за облекчаване на бедността /Атина, Стария Рим и т.н./; през 17 в. се въвежда регулация на заплащането на труда и на предлаганите работни места, целящи “лекуването” на бедността, а през 19 в. се появяват и първите социално-осигурителни схеми, въведени от Бисмарк, които прокарват пътя на всеобхватното социално осигуряване, бедността си остава социален проблем и за 21 век. Първите научни теории се появяват през 19 в., а едно от най-ранните и най-известни изследвания е проведено през 1899 г. от Сибоум Роънтри. Оттогава е предмет на дискусии, не спират търсенията на практически подходи, механизми и правителствени програми за преодоляването на този социален проблем.</w:t>
      </w:r>
    </w:p>
    <w:p>
      <w:pPr>
        <w:pStyle w:val="Normal"/>
        <w:jc w:val="both"/>
        <w:rPr/>
      </w:pPr>
      <w:r>
        <w:rPr>
          <w:sz w:val="22"/>
          <w:szCs w:val="22"/>
          <w:lang w:val="bg-BG"/>
        </w:rPr>
        <w:tab/>
      </w:r>
      <w:r>
        <w:rPr>
          <w:b/>
          <w:sz w:val="22"/>
          <w:szCs w:val="22"/>
          <w:lang w:val="bg-BG"/>
        </w:rPr>
        <w:t xml:space="preserve">Здравеопазването </w:t>
      </w:r>
      <w:r>
        <w:rPr>
          <w:sz w:val="22"/>
          <w:szCs w:val="22"/>
          <w:lang w:val="bg-BG"/>
        </w:rPr>
        <w:t>– стремежът за определено  минимално здравно осигуряване е много стар. Например В Атина още през V-ІV в. пр.н.е. по време на нейното демократично управление както и за средновековната еврейска общност. Удивително е да се каже, че думи като здраве, болест, старост имат определено значение във всички култури в историята на човешката цивилизация. И не може да бъде иначе, защото болестта е всеобща опасност, старостта – всеобща перспектива, здравето – най-висшата осъзната ценност на човешкия живот, а неговото запазване според Декарт е “най-главното от всички блага”. И ако във Средновековието спасението от болести и беди е търсено в църквата, то в Новото време ражда клиниките и болниците. Медицинското осигуряване настъпва най-напред областта на профилактиката. В края на 19 в. сме свидетели на навлизане на осигуряването и  в областта на лечението. Извършва се процес на лицензиране на лекарите, установяване на държавни медицински училища и градски клиники, проникване на пари от данъчни постъпления в стотици доброволчески болници и пр. Правителствата на моделните европейски държани и САЩ започват да  субсидират изследвания, да обучават медицински персонал, да оборудват обществени сгради и да ги превръщат в болнични заведения, да осигуряват лечението на хората от третата възраст, което е израз на “начина човешката мъдрост да удовлетворява човешките нужди” 20 в. превръща медицинското обслужване в социално призната потребност. Общността засилва своите инвестиции в осигуряването на медицинското обслужване.</w:t>
      </w:r>
    </w:p>
    <w:p>
      <w:pPr>
        <w:pStyle w:val="Normal"/>
        <w:jc w:val="both"/>
        <w:rPr/>
      </w:pPr>
      <w:r>
        <w:rPr>
          <w:sz w:val="22"/>
          <w:szCs w:val="22"/>
          <w:lang w:val="bg-BG"/>
        </w:rPr>
        <w:tab/>
      </w:r>
      <w:r>
        <w:rPr>
          <w:b/>
          <w:sz w:val="22"/>
          <w:szCs w:val="22"/>
          <w:lang w:val="bg-BG"/>
        </w:rPr>
        <w:t xml:space="preserve">Образованието </w:t>
      </w:r>
      <w:r>
        <w:rPr>
          <w:sz w:val="22"/>
          <w:szCs w:val="22"/>
          <w:lang w:val="bg-BG"/>
        </w:rPr>
        <w:t>– приоритетен обект на СП, отдава му се голямо значение още в Древна Гърция, Стария Рим, Египет, Вавилония, Персия и т.н. Античният свят се гордее със своите великолепни държавни училища. Първият опит за установяване на нещо подобно на всеобщо и задължително обществено образование датира от 15 век. В Испания /Валядолидският синод – 1432 г./ налага на всяка общност от 15 глави на семейства да финансират един знаещ учител, който да обучава техните деца по библията. И ако това финансиране не е достатъчно общността го допълва. По-големите общности отклоняват пари от богатите, за да развиват обучението в училищата; училищни такси за бедни деца се заплащат общо; въведени са обществени субсидии. През втората половина на 19 век се поставя началото на всеобхватното общозадължително образование в Европа. Пионер са магнатите в текстилните фабрики на Нова Англия. За първосъздател на задължителното всеобщо държавно образование се смятат САЩ, коиот с цел облекчаване основната квалификация, необходима за новата промишлена епоха, поставят началото на дванасетокласното всеобщо задължително държавно образование. САЩ са първооткриватели и на държавните университети, “в които таксите за обучение са далеч по-ниски от разходите по него”.В средата на 20 век на образованието се приписва чутворна сила да преодолява социалните конфликти и сътресения в обществото. Единствено образованието и науката могат да излекуват язвите на съвременното общество, без да се стига до социални конфликти. Л.Търоу твърди, че именно “държавните инвестиции в образованието създадоха средната класа”, а през 21 век “нито една държава не може успешно да се развива, без да прави големи инвестиции в знанията и уменията”.</w:t>
      </w:r>
    </w:p>
    <w:p>
      <w:pPr>
        <w:pStyle w:val="Normal"/>
        <w:ind w:left="360" w:firstLine="360"/>
        <w:jc w:val="both"/>
        <w:rPr>
          <w:sz w:val="22"/>
          <w:szCs w:val="22"/>
          <w:lang w:val="bg-BG"/>
        </w:rPr>
      </w:pPr>
      <w:r>
        <w:rPr>
          <w:sz w:val="22"/>
          <w:szCs w:val="22"/>
          <w:lang w:val="bg-BG"/>
        </w:rPr>
      </w:r>
    </w:p>
    <w:p>
      <w:pPr>
        <w:pStyle w:val="Normal"/>
        <w:spacing w:lineRule="auto" w:line="360"/>
        <w:ind w:firstLine="720"/>
        <w:jc w:val="both"/>
        <w:rPr/>
      </w:pPr>
      <w:r>
        <w:rPr>
          <w:b/>
          <w:sz w:val="22"/>
          <w:szCs w:val="22"/>
          <w:lang w:val="ru-RU"/>
        </w:rPr>
        <w:t xml:space="preserve">Социална икономика - </w:t>
      </w:r>
      <w:r>
        <w:rPr>
          <w:sz w:val="22"/>
          <w:szCs w:val="22"/>
          <w:lang w:val="ru-RU"/>
        </w:rPr>
        <w:t xml:space="preserve">събирателно понятие за обозначаване на </w:t>
      </w:r>
      <w:r>
        <w:rPr>
          <w:b/>
          <w:sz w:val="22"/>
          <w:szCs w:val="22"/>
          <w:lang w:val="ru-RU"/>
        </w:rPr>
        <w:t xml:space="preserve"> </w:t>
      </w:r>
      <w:r>
        <w:rPr>
          <w:sz w:val="22"/>
          <w:szCs w:val="22"/>
          <w:lang w:val="ru-RU"/>
        </w:rPr>
        <w:t xml:space="preserve">физически и/или юридически лица, сдружения на доброволци или други организирани субекти, осъществяващи стопанска дейност в обществена полза, които реинвестират печалба за постигане на социални цели;  </w:t>
      </w:r>
    </w:p>
    <w:p>
      <w:pPr>
        <w:pStyle w:val="Normal"/>
        <w:spacing w:lineRule="auto" w:line="360"/>
        <w:ind w:firstLine="720"/>
        <w:jc w:val="both"/>
        <w:rPr/>
      </w:pPr>
      <w:r>
        <w:rPr>
          <w:b/>
          <w:sz w:val="22"/>
          <w:szCs w:val="22"/>
          <w:lang w:val="ru-RU"/>
        </w:rPr>
        <w:t xml:space="preserve">Корпоративна социална отговорност </w:t>
      </w:r>
      <w:r>
        <w:rPr>
          <w:sz w:val="22"/>
          <w:szCs w:val="22"/>
          <w:lang w:val="ru-RU"/>
        </w:rPr>
        <w:t>- „концепция, при която компаниите интегрират на доброволна основа дейността си по опазване на околната среда и социалните си инициативи в своите бизнес стратегии и във взаимодействие с всички заинтересовани лица” (Съобщение на Европейската комисия (ЕК) от март 2006 г. „Прилагане на партньорство за растеж и работни места: да направим Европа пример за подражание за прилагане на КСО”);</w:t>
      </w:r>
    </w:p>
    <w:p>
      <w:pPr>
        <w:pStyle w:val="Normal"/>
        <w:spacing w:lineRule="auto" w:line="360"/>
        <w:ind w:firstLine="720"/>
        <w:jc w:val="both"/>
        <w:rPr/>
      </w:pPr>
      <w:r>
        <w:rPr>
          <w:b/>
          <w:sz w:val="22"/>
          <w:szCs w:val="22"/>
          <w:lang w:val="ru-RU"/>
        </w:rPr>
        <w:t xml:space="preserve">Бенефициент - </w:t>
      </w:r>
      <w:r>
        <w:rPr>
          <w:sz w:val="22"/>
          <w:szCs w:val="22"/>
          <w:lang w:val="ru-RU"/>
        </w:rPr>
        <w:t>оператор, орган или фирма, без значение публичен или частен, отговорен за инициирането или за инициирането и изпълнението на операции. В контекста на схемите за финансова помощ по чл. 87 от Договора, бенефициенти са публични или частни фирми, реализиращи отделен проект и получаващи публична помощ;</w:t>
      </w:r>
    </w:p>
    <w:p>
      <w:pPr>
        <w:pStyle w:val="Normal"/>
        <w:spacing w:lineRule="auto" w:line="360"/>
        <w:ind w:firstLine="720"/>
        <w:jc w:val="both"/>
        <w:rPr/>
      </w:pPr>
      <w:r>
        <w:rPr>
          <w:b/>
          <w:sz w:val="22"/>
          <w:szCs w:val="22"/>
          <w:lang w:val="ru-RU"/>
        </w:rPr>
        <w:t>Безвъзмездна финансова помощ</w:t>
      </w:r>
      <w:r>
        <w:rPr>
          <w:sz w:val="22"/>
          <w:szCs w:val="22"/>
          <w:lang w:val="ru-RU"/>
        </w:rPr>
        <w:t xml:space="preserve"> - без това да противоречи на чл. 108 от Регламент (</w:t>
      </w:r>
      <w:r>
        <w:rPr>
          <w:sz w:val="22"/>
          <w:szCs w:val="22"/>
        </w:rPr>
        <w:t>EO</w:t>
      </w:r>
      <w:r>
        <w:rPr>
          <w:sz w:val="22"/>
          <w:szCs w:val="22"/>
          <w:lang w:val="ru-RU"/>
        </w:rPr>
        <w:t xml:space="preserve">, Евроатом) </w:t>
      </w:r>
      <w:r>
        <w:rPr>
          <w:sz w:val="22"/>
          <w:szCs w:val="22"/>
        </w:rPr>
        <w:t>No</w:t>
      </w:r>
      <w:r>
        <w:rPr>
          <w:sz w:val="22"/>
          <w:szCs w:val="22"/>
          <w:lang w:val="ru-RU"/>
        </w:rPr>
        <w:t xml:space="preserve"> 1605/2002, това са средства, предоставени от ОП „Развитие на човешките ресурси”, включително съответното национално съфинансиране, с цел изпълнението на одобрен проект, насочен към постигане на определени резултати;</w:t>
      </w:r>
    </w:p>
    <w:p>
      <w:pPr>
        <w:pStyle w:val="Normal"/>
        <w:spacing w:lineRule="auto" w:line="360"/>
        <w:ind w:firstLine="720"/>
        <w:jc w:val="both"/>
        <w:rPr/>
      </w:pPr>
      <w:r>
        <w:rPr>
          <w:b/>
          <w:sz w:val="22"/>
          <w:szCs w:val="22"/>
          <w:lang w:val="ru-RU"/>
        </w:rPr>
        <w:t>Права на човека</w:t>
      </w:r>
      <w:r>
        <w:rPr>
          <w:sz w:val="22"/>
          <w:szCs w:val="22"/>
          <w:lang w:val="ru-RU"/>
        </w:rPr>
        <w:t xml:space="preserve"> - права и свободи, които се считат за присъщи на всеки човек. В съвременния свят човешките права и свободи са дефинирани в международни конвенции и въведени в националното законодателство; </w:t>
      </w:r>
    </w:p>
    <w:p>
      <w:pPr>
        <w:pStyle w:val="Normal"/>
        <w:spacing w:lineRule="auto" w:line="360"/>
        <w:ind w:firstLine="720"/>
        <w:jc w:val="both"/>
        <w:rPr/>
      </w:pPr>
      <w:r>
        <w:rPr>
          <w:b/>
          <w:sz w:val="22"/>
          <w:szCs w:val="22"/>
          <w:lang w:val="ru-RU"/>
        </w:rPr>
        <w:t>Социални права</w:t>
      </w:r>
      <w:r>
        <w:rPr>
          <w:sz w:val="22"/>
          <w:szCs w:val="22"/>
          <w:lang w:val="ru-RU"/>
        </w:rPr>
        <w:t xml:space="preserve"> - част от права на човека с конкретен социален характер - също предмет на международни конвенции (напр. Европейската социална харта) и национално законодателство;</w:t>
      </w:r>
    </w:p>
    <w:p>
      <w:pPr>
        <w:pStyle w:val="Normal"/>
        <w:spacing w:lineRule="auto" w:line="360"/>
        <w:ind w:firstLine="720"/>
        <w:jc w:val="both"/>
        <w:rPr/>
      </w:pPr>
      <w:r>
        <w:rPr>
          <w:b/>
          <w:sz w:val="22"/>
          <w:szCs w:val="22"/>
          <w:lang w:val="ru-RU"/>
        </w:rPr>
        <w:t>Социални партньори</w:t>
      </w:r>
      <w:r>
        <w:rPr>
          <w:sz w:val="22"/>
          <w:szCs w:val="22"/>
          <w:lang w:val="ru-RU"/>
        </w:rPr>
        <w:t xml:space="preserve"> - по смисъла на конвенциите на Международната организация на труда (МОТ) - организациите на работниците (синдикатите) и асоциациите на работодателите; </w:t>
      </w:r>
    </w:p>
    <w:p>
      <w:pPr>
        <w:pStyle w:val="Normal"/>
        <w:spacing w:lineRule="auto" w:line="360"/>
        <w:ind w:firstLine="706"/>
        <w:jc w:val="both"/>
        <w:rPr/>
      </w:pPr>
      <w:r>
        <w:rPr>
          <w:b/>
          <w:sz w:val="22"/>
          <w:szCs w:val="22"/>
          <w:lang w:val="ru-RU"/>
        </w:rPr>
        <w:t xml:space="preserve">Каталог на субектите на социалната икономика </w:t>
      </w:r>
      <w:r>
        <w:rPr>
          <w:sz w:val="22"/>
          <w:szCs w:val="22"/>
          <w:lang w:val="ru-RU"/>
        </w:rPr>
        <w:t>- неформален регистър на субектите на социалната икономика, който се поддържа и публикува електронно от Министерство на труда и социалната политика с цел - обществена информираност;</w:t>
      </w:r>
    </w:p>
    <w:p>
      <w:pPr>
        <w:pStyle w:val="Normal"/>
        <w:spacing w:lineRule="auto" w:line="360"/>
        <w:ind w:firstLine="706"/>
        <w:jc w:val="both"/>
        <w:rPr/>
      </w:pPr>
      <w:r>
        <w:rPr>
          <w:b/>
          <w:sz w:val="22"/>
          <w:szCs w:val="22"/>
          <w:lang w:val="ru-RU"/>
        </w:rPr>
        <w:t>Доброволческа дейност</w:t>
      </w:r>
      <w:r>
        <w:rPr>
          <w:sz w:val="22"/>
          <w:szCs w:val="22"/>
          <w:lang w:val="ru-RU"/>
        </w:rPr>
        <w:t xml:space="preserve"> - изява на волята на отделната личност и нейните възможности свободно да изпълни действия, с които да помогне на другите и да подпомогне цялостното състояние на обществото;</w:t>
      </w:r>
    </w:p>
    <w:p>
      <w:pPr>
        <w:pStyle w:val="Normal"/>
        <w:spacing w:lineRule="auto" w:line="360"/>
        <w:ind w:firstLine="706"/>
        <w:jc w:val="both"/>
        <w:rPr/>
      </w:pPr>
      <w:r>
        <w:rPr>
          <w:b/>
          <w:sz w:val="22"/>
          <w:szCs w:val="22"/>
          <w:lang w:val="ru-RU"/>
        </w:rPr>
        <w:t>Социално изключване</w:t>
      </w:r>
      <w:r>
        <w:rPr>
          <w:sz w:val="22"/>
          <w:szCs w:val="22"/>
          <w:lang w:val="ru-RU"/>
        </w:rPr>
        <w:t xml:space="preserve"> - процес, при който определени хора са изтласкани на ръба на обществото и са възпрепятствани от пълно участие в него поради своята бедност, или поради липсата на базови компетенции и възможности за учене през целия живот, или в резултат от дискриминация;</w:t>
      </w:r>
    </w:p>
    <w:p>
      <w:pPr>
        <w:pStyle w:val="Normal"/>
        <w:spacing w:lineRule="auto" w:line="360"/>
        <w:ind w:firstLine="706"/>
        <w:jc w:val="both"/>
        <w:rPr/>
      </w:pPr>
      <w:r>
        <w:rPr>
          <w:b/>
          <w:sz w:val="22"/>
          <w:szCs w:val="22"/>
          <w:lang w:val="ru-RU"/>
        </w:rPr>
        <w:t xml:space="preserve">Социално включване </w:t>
      </w:r>
      <w:r>
        <w:rPr>
          <w:sz w:val="22"/>
          <w:szCs w:val="22"/>
          <w:lang w:val="ru-RU"/>
        </w:rPr>
        <w:t>- положителен резултат от правителствени мерки или инициативи на неправителствени организации, насочени към преодоляване или недопускане на социалното изключване.</w:t>
      </w:r>
    </w:p>
    <w:p>
      <w:pPr>
        <w:pStyle w:val="Normal"/>
        <w:spacing w:lineRule="auto" w:line="360"/>
        <w:ind w:firstLine="706"/>
        <w:jc w:val="both"/>
        <w:rPr>
          <w:sz w:val="22"/>
          <w:szCs w:val="22"/>
          <w:lang w:val="ru-RU"/>
        </w:rPr>
      </w:pPr>
      <w:r>
        <w:rPr>
          <w:sz w:val="22"/>
          <w:szCs w:val="22"/>
          <w:lang w:val="ru-RU"/>
        </w:rPr>
      </w:r>
    </w:p>
    <w:p>
      <w:pPr>
        <w:pStyle w:val="Normal"/>
        <w:spacing w:lineRule="auto" w:line="360"/>
        <w:ind w:firstLine="706"/>
        <w:jc w:val="both"/>
        <w:rPr>
          <w:sz w:val="22"/>
          <w:szCs w:val="22"/>
          <w:lang w:val="ru-RU"/>
        </w:rPr>
      </w:pPr>
      <w:r>
        <w:rPr>
          <w:sz w:val="22"/>
          <w:szCs w:val="22"/>
          <w:lang w:val="ru-RU"/>
        </w:rPr>
      </w:r>
    </w:p>
    <w:p>
      <w:pPr>
        <w:pStyle w:val="Normal"/>
        <w:spacing w:lineRule="auto" w:line="360"/>
        <w:jc w:val="center"/>
        <w:rPr>
          <w:b/>
          <w:b/>
          <w:sz w:val="22"/>
          <w:szCs w:val="22"/>
          <w:lang w:val="bg-BG"/>
        </w:rPr>
      </w:pPr>
      <w:r>
        <w:rPr>
          <w:b/>
          <w:sz w:val="22"/>
          <w:szCs w:val="22"/>
          <w:lang w:val="bg-BG"/>
        </w:rPr>
        <w:t>Лекция 3: МОДЕЛИ НА СОЦИАЛНА ПОЛИТИКА</w:t>
      </w:r>
    </w:p>
    <w:p>
      <w:pPr>
        <w:pStyle w:val="Normal"/>
        <w:spacing w:lineRule="auto" w:line="360"/>
        <w:jc w:val="both"/>
        <w:rPr>
          <w:b/>
          <w:b/>
          <w:sz w:val="22"/>
          <w:szCs w:val="22"/>
          <w:lang w:val="bg-BG"/>
        </w:rPr>
      </w:pPr>
      <w:r>
        <w:rPr>
          <w:b/>
          <w:sz w:val="22"/>
          <w:szCs w:val="22"/>
          <w:lang w:val="bg-BG"/>
        </w:rPr>
      </w:r>
    </w:p>
    <w:p>
      <w:pPr>
        <w:pStyle w:val="Normal"/>
        <w:spacing w:lineRule="auto" w:line="360"/>
        <w:ind w:firstLine="360"/>
        <w:jc w:val="both"/>
        <w:rPr/>
      </w:pPr>
      <w:r>
        <w:rPr>
          <w:sz w:val="22"/>
          <w:szCs w:val="22"/>
          <w:lang w:val="bg-BG"/>
        </w:rPr>
        <w:t>Изборът и осъществяването на  конкретен тип С</w:t>
      </w:r>
      <w:r>
        <w:rPr>
          <w:sz w:val="22"/>
          <w:szCs w:val="22"/>
          <w:lang w:val="ru-RU"/>
        </w:rPr>
        <w:t>П</w:t>
      </w:r>
      <w:r>
        <w:rPr>
          <w:sz w:val="22"/>
          <w:szCs w:val="22"/>
          <w:lang w:val="bg-BG"/>
        </w:rPr>
        <w:t xml:space="preserve"> са в пряка зависимост от икономическия потенциал на обществата и политическите режими на управление в тях. Икономически развитите общества реализират политики  за регулиране на  социалното развитие и на жизнения стандарт на всички  граждани, докато неразвитите /например обществата в преход/ - политики  спрямо отделни лица, групи и общности, за да намалят степента на социалните неравенства в обществото. Ротацията на десни  и леви партии и правителства в управлението  /в т.ч. и смесени/ предизвиква  и ротация на съответстващите  им либерален/егалитарен  тип доктрини, политически платформи, и конкретни политики, съпътствани  и от синтез между тях. СП днес се намира в полето на напрежение  между либерализма и егалитаризма, между парадигмата на свободния пазар  като основен  регулатор на социалните отношения и парадигмата на държавата на благоденствието – държавата  като такъв регулатор.</w:t>
      </w:r>
    </w:p>
    <w:p>
      <w:pPr>
        <w:pStyle w:val="Normal"/>
        <w:spacing w:lineRule="auto" w:line="360"/>
        <w:ind w:firstLine="360"/>
        <w:jc w:val="both"/>
        <w:rPr/>
      </w:pPr>
      <w:r>
        <w:rPr>
          <w:sz w:val="22"/>
          <w:szCs w:val="22"/>
          <w:lang w:val="bg-BG"/>
        </w:rPr>
        <w:t xml:space="preserve">В научната литература са представени различни класификации на модели на СП. Например, според Еспинг Андерсън моделите  са три - </w:t>
      </w:r>
      <w:r>
        <w:rPr>
          <w:b/>
          <w:sz w:val="22"/>
          <w:szCs w:val="22"/>
          <w:lang w:val="bg-BG"/>
        </w:rPr>
        <w:t xml:space="preserve">либерален, консервативен и социалистически; според </w:t>
      </w:r>
      <w:r>
        <w:rPr>
          <w:sz w:val="22"/>
          <w:szCs w:val="22"/>
          <w:lang w:val="bg-BG"/>
        </w:rPr>
        <w:t xml:space="preserve">Ги Менар са също три - </w:t>
      </w:r>
      <w:r>
        <w:rPr>
          <w:b/>
          <w:sz w:val="22"/>
          <w:szCs w:val="22"/>
          <w:lang w:val="bg-BG"/>
        </w:rPr>
        <w:t>либерален, кейнсиански и марксистки</w:t>
      </w:r>
      <w:r>
        <w:rPr>
          <w:sz w:val="22"/>
          <w:szCs w:val="22"/>
          <w:lang w:val="bg-BG"/>
        </w:rPr>
        <w:t xml:space="preserve">;  според Душка Димова са два - </w:t>
      </w:r>
      <w:r>
        <w:rPr>
          <w:b/>
          <w:sz w:val="22"/>
          <w:szCs w:val="22"/>
          <w:lang w:val="bg-BG"/>
        </w:rPr>
        <w:t>либерален и егалитарен</w:t>
      </w:r>
      <w:r>
        <w:rPr>
          <w:sz w:val="22"/>
          <w:szCs w:val="22"/>
          <w:lang w:val="bg-BG"/>
        </w:rPr>
        <w:t>.</w:t>
      </w:r>
    </w:p>
    <w:p>
      <w:pPr>
        <w:pStyle w:val="Normal"/>
        <w:spacing w:lineRule="auto" w:line="360"/>
        <w:ind w:firstLine="360"/>
        <w:jc w:val="both"/>
        <w:rPr>
          <w:sz w:val="22"/>
          <w:szCs w:val="22"/>
          <w:lang w:val="bg-BG"/>
        </w:rPr>
      </w:pPr>
      <w:r>
        <w:rPr>
          <w:sz w:val="22"/>
          <w:szCs w:val="22"/>
          <w:lang w:val="bg-BG"/>
        </w:rPr>
      </w:r>
    </w:p>
    <w:p>
      <w:pPr>
        <w:pStyle w:val="Normal"/>
        <w:spacing w:lineRule="auto" w:line="360"/>
        <w:ind w:firstLine="360"/>
        <w:jc w:val="center"/>
        <w:rPr>
          <w:b/>
          <w:b/>
          <w:sz w:val="22"/>
          <w:szCs w:val="22"/>
          <w:lang w:val="bg-BG"/>
        </w:rPr>
      </w:pPr>
      <w:r>
        <w:rPr>
          <w:b/>
          <w:sz w:val="22"/>
          <w:szCs w:val="22"/>
          <w:lang w:val="bg-BG"/>
        </w:rPr>
        <w:t>ЛИБЕРАЛЕН/НЕОЛИБЕРАЛЕН  МОДЕЛ НА СОЦИАЛНА ПОЛИТИКА</w:t>
      </w:r>
    </w:p>
    <w:p>
      <w:pPr>
        <w:pStyle w:val="Normal"/>
        <w:spacing w:lineRule="auto" w:line="360"/>
        <w:ind w:firstLine="360"/>
        <w:jc w:val="both"/>
        <w:rPr>
          <w:b/>
          <w:b/>
          <w:sz w:val="22"/>
          <w:szCs w:val="22"/>
          <w:lang w:val="bg-BG"/>
        </w:rPr>
      </w:pPr>
      <w:r>
        <w:rPr>
          <w:b/>
          <w:sz w:val="22"/>
          <w:szCs w:val="22"/>
          <w:lang w:val="bg-BG"/>
        </w:rPr>
      </w:r>
    </w:p>
    <w:p>
      <w:pPr>
        <w:pStyle w:val="Normal"/>
        <w:spacing w:lineRule="auto" w:line="360"/>
        <w:ind w:firstLine="360"/>
        <w:jc w:val="both"/>
        <w:rPr/>
      </w:pPr>
      <w:r>
        <w:rPr>
          <w:b/>
          <w:sz w:val="22"/>
          <w:szCs w:val="22"/>
          <w:lang w:val="bg-BG"/>
        </w:rPr>
        <w:t xml:space="preserve">Класическият  либералноориентиран  модел на СП </w:t>
      </w:r>
      <w:r>
        <w:rPr>
          <w:sz w:val="22"/>
          <w:szCs w:val="22"/>
          <w:lang w:val="bg-BG"/>
        </w:rPr>
        <w:t>стимулира към индивидуална сигурност /”човек сам да си помогне”, “семейството да му помогне”/, държавните институции се намесват само там, където източниците на  индивидуална сигурност /пазарът и семейството/ са се провалили. Има  за цел да създаде равенство на „входа”, да осигури за всички равни шансове при условията на свободен избор и да утвърди принципите на самоотговорността и децентрализма като основни  в живота на  гражданите.</w:t>
      </w:r>
    </w:p>
    <w:p>
      <w:pPr>
        <w:pStyle w:val="Normal"/>
        <w:spacing w:lineRule="auto" w:line="360"/>
        <w:ind w:firstLine="360"/>
        <w:jc w:val="both"/>
        <w:rPr>
          <w:sz w:val="22"/>
          <w:szCs w:val="22"/>
          <w:lang w:val="bg-BG"/>
        </w:rPr>
      </w:pPr>
      <w:r>
        <w:rPr>
          <w:b/>
          <w:sz w:val="22"/>
          <w:szCs w:val="22"/>
          <w:lang w:val="bg-BG"/>
        </w:rPr>
        <w:t xml:space="preserve">Либералната концепция за СП /от края на 17 и през 18 век/ се характеризира с това, че </w:t>
      </w:r>
      <w:r>
        <w:rPr>
          <w:sz w:val="22"/>
          <w:szCs w:val="22"/>
          <w:lang w:val="bg-BG"/>
        </w:rPr>
        <w:t xml:space="preserve">във всичките свои модификации акцентира върху човешките права и свободи /равни политически и граждански права и свободи за всички/ и  върху социалния и духовен прогрес на обществото. Оправдава класовите и социалните неравенства. </w:t>
      </w:r>
      <w:r>
        <w:rPr>
          <w:b/>
          <w:sz w:val="22"/>
          <w:szCs w:val="22"/>
          <w:lang w:val="bg-BG"/>
        </w:rPr>
        <w:t>Класическият либерализъм</w:t>
      </w:r>
      <w:r>
        <w:rPr>
          <w:sz w:val="22"/>
          <w:szCs w:val="22"/>
          <w:lang w:val="bg-BG"/>
        </w:rPr>
        <w:t xml:space="preserve"> /независимо от националните различия/ застъпва концепцията на А.Смит за “спонтанния ред”, за това</w:t>
      </w:r>
      <w:r>
        <w:rPr>
          <w:b/>
          <w:sz w:val="22"/>
          <w:szCs w:val="22"/>
          <w:lang w:val="bg-BG"/>
        </w:rPr>
        <w:t xml:space="preserve">, че единствено пазарът /свободната пазарна конкуренция/ е </w:t>
      </w:r>
      <w:r>
        <w:rPr>
          <w:sz w:val="22"/>
          <w:szCs w:val="22"/>
          <w:lang w:val="bg-BG"/>
        </w:rPr>
        <w:t>в състояние да преодолява неравенствата в обществото и всяка намеса на държавата предизвиква негативни ефекти: нарушава конкурентната размяна, създава монополи, стимулира неефективност.</w:t>
      </w:r>
      <w:r>
        <w:rPr>
          <w:b/>
          <w:sz w:val="22"/>
          <w:szCs w:val="22"/>
          <w:lang w:val="bg-BG"/>
        </w:rPr>
        <w:t xml:space="preserve"> Пътят към равенството и благоденствието в обществото е път, предполагащ свободен пазар  без държавна намеса.</w:t>
      </w:r>
    </w:p>
    <w:p>
      <w:pPr>
        <w:pStyle w:val="Normal"/>
        <w:spacing w:lineRule="auto" w:line="360"/>
        <w:ind w:firstLine="360"/>
        <w:jc w:val="both"/>
        <w:rPr/>
      </w:pPr>
      <w:r>
        <w:rPr>
          <w:sz w:val="22"/>
          <w:szCs w:val="22"/>
          <w:lang w:val="bg-BG"/>
        </w:rPr>
        <w:t xml:space="preserve"> </w:t>
      </w:r>
      <w:r>
        <w:rPr>
          <w:b/>
          <w:sz w:val="22"/>
          <w:szCs w:val="22"/>
          <w:lang w:val="bg-BG"/>
        </w:rPr>
        <w:t>СП в класическото либерално общество</w:t>
      </w:r>
      <w:r>
        <w:rPr>
          <w:sz w:val="22"/>
          <w:szCs w:val="22"/>
          <w:lang w:val="bg-BG"/>
        </w:rPr>
        <w:t xml:space="preserve">, т.е. грижата на държавата за духовния комфорт и икономически просперитет на собствените й членове, не се реализира в съвременния смисъл на тази дума. Полагат се грижи за социално слабите, болните и възрастните, но </w:t>
      </w:r>
      <w:r>
        <w:rPr>
          <w:b/>
          <w:sz w:val="22"/>
          <w:szCs w:val="22"/>
          <w:lang w:val="bg-BG"/>
        </w:rPr>
        <w:t>не от държавата, а от църквата</w:t>
      </w:r>
      <w:r>
        <w:rPr>
          <w:sz w:val="22"/>
          <w:szCs w:val="22"/>
          <w:lang w:val="bg-BG"/>
        </w:rPr>
        <w:t>, която за тази цел събира помощи от богатите.</w:t>
      </w:r>
      <w:r>
        <w:rPr>
          <w:b/>
          <w:sz w:val="22"/>
          <w:szCs w:val="22"/>
          <w:lang w:val="bg-BG"/>
        </w:rPr>
        <w:t xml:space="preserve"> </w:t>
      </w:r>
    </w:p>
    <w:p>
      <w:pPr>
        <w:pStyle w:val="Normal"/>
        <w:spacing w:lineRule="auto" w:line="360"/>
        <w:ind w:firstLine="360"/>
        <w:jc w:val="both"/>
        <w:rPr/>
      </w:pPr>
      <w:r>
        <w:rPr>
          <w:b/>
          <w:sz w:val="22"/>
          <w:szCs w:val="22"/>
          <w:lang w:val="bg-BG"/>
        </w:rPr>
        <w:t>През ХХ век либе</w:t>
      </w:r>
      <w:r>
        <w:rPr>
          <w:sz w:val="22"/>
          <w:szCs w:val="22"/>
          <w:lang w:val="bg-BG"/>
        </w:rPr>
        <w:t xml:space="preserve">ралните идеи в САЩ са представени в трудовете на Милтън Фридман. Той се стреми да докаже, че прогресът на САЩ  </w:t>
      </w:r>
      <w:r>
        <w:rPr>
          <w:b/>
          <w:sz w:val="22"/>
          <w:szCs w:val="22"/>
          <w:lang w:val="bg-BG"/>
        </w:rPr>
        <w:t xml:space="preserve">е резултат на съвместяването на принципа на свободната конкуренция и демократичното устройство на обществото. </w:t>
      </w:r>
      <w:r>
        <w:rPr>
          <w:sz w:val="22"/>
          <w:szCs w:val="22"/>
          <w:lang w:val="bg-BG"/>
        </w:rPr>
        <w:t xml:space="preserve">Според Фридман политическата независимост е възможна само върху разбирането за допустимост на икономическата свобода. Оттук разгръщането на  човешката инициатива и увеличаване на личното благосъстояние е резултат от намаляване на данъците, “свиване” на бюрократичния държавен апарат, премахване на контрола, упражняван от държавата върху заплатите и цените, отмяна на прогресивния данък и пр.” </w:t>
      </w:r>
    </w:p>
    <w:p>
      <w:pPr>
        <w:pStyle w:val="Normal"/>
        <w:spacing w:lineRule="auto" w:line="360"/>
        <w:ind w:firstLine="360"/>
        <w:jc w:val="both"/>
        <w:rPr/>
      </w:pPr>
      <w:r>
        <w:rPr>
          <w:b/>
          <w:sz w:val="22"/>
          <w:szCs w:val="22"/>
          <w:lang w:val="bg-BG"/>
        </w:rPr>
        <w:t>Либералната школа</w:t>
      </w:r>
      <w:r>
        <w:rPr>
          <w:sz w:val="22"/>
          <w:szCs w:val="22"/>
          <w:lang w:val="bg-BG"/>
        </w:rPr>
        <w:t xml:space="preserve"> /Адам Дмит, Фридрик А. Хаек, Милтън Фридман, Би Ханан и др./; има много течения и се основат на регулиращата роля на  свободния пазар, на свободната инициатива и личната отговорност Индивидът сам да си “купи сигурност”. В по-ново време либералната школа признава, че социалната справедливост изисква едно по-добро  разпределение на доходите, което противоречи на основната идея на либерализма за свободата на личността. Либералната школа се застъпва  за предимно  </w:t>
      </w:r>
      <w:r>
        <w:rPr>
          <w:b/>
          <w:sz w:val="22"/>
          <w:szCs w:val="22"/>
          <w:lang w:val="bg-BG"/>
        </w:rPr>
        <w:t>хоризонтално преразпределение на доходите</w:t>
      </w:r>
      <w:r>
        <w:rPr>
          <w:sz w:val="22"/>
          <w:szCs w:val="22"/>
          <w:lang w:val="bg-BG"/>
        </w:rPr>
        <w:t xml:space="preserve">. Вертикалното  преразпределение  увеличава  бюрократизма на държавата и не насочва  средствата винаги там, където  са нужни. </w:t>
      </w:r>
    </w:p>
    <w:p>
      <w:pPr>
        <w:pStyle w:val="Normal"/>
        <w:spacing w:lineRule="auto" w:line="360"/>
        <w:ind w:firstLine="360"/>
        <w:jc w:val="both"/>
        <w:rPr>
          <w:sz w:val="22"/>
          <w:szCs w:val="22"/>
          <w:lang w:val="bg-BG"/>
        </w:rPr>
      </w:pPr>
      <w:r>
        <w:rPr>
          <w:sz w:val="22"/>
          <w:szCs w:val="22"/>
          <w:lang w:val="bg-BG"/>
        </w:rPr>
      </w:r>
    </w:p>
    <w:p>
      <w:pPr>
        <w:pStyle w:val="Normal"/>
        <w:spacing w:lineRule="auto" w:line="360"/>
        <w:ind w:firstLine="360"/>
        <w:jc w:val="both"/>
        <w:rPr>
          <w:sz w:val="22"/>
          <w:szCs w:val="22"/>
          <w:lang w:val="bg-BG"/>
        </w:rPr>
      </w:pPr>
      <w:r>
        <w:rPr>
          <w:sz w:val="22"/>
          <w:szCs w:val="22"/>
          <w:lang w:val="bg-BG"/>
        </w:rPr>
      </w:r>
    </w:p>
    <w:p>
      <w:pPr>
        <w:pStyle w:val="Normal"/>
        <w:spacing w:lineRule="auto" w:line="360"/>
        <w:ind w:firstLine="360"/>
        <w:jc w:val="both"/>
        <w:rPr>
          <w:sz w:val="22"/>
          <w:szCs w:val="22"/>
          <w:lang w:val="bg-BG"/>
        </w:rPr>
      </w:pPr>
      <w:r>
        <w:rPr>
          <w:sz w:val="22"/>
          <w:szCs w:val="22"/>
          <w:lang w:val="bg-BG"/>
        </w:rPr>
      </w:r>
    </w:p>
    <w:p>
      <w:pPr>
        <w:pStyle w:val="Normal"/>
        <w:spacing w:lineRule="auto" w:line="360"/>
        <w:ind w:firstLine="360"/>
        <w:jc w:val="both"/>
        <w:rPr/>
      </w:pPr>
      <w:r>
        <w:rPr>
          <w:b/>
          <w:sz w:val="22"/>
          <w:szCs w:val="22"/>
          <w:lang w:val="bg-BG"/>
        </w:rPr>
        <w:t>Неолибералният модел на СП</w:t>
      </w:r>
      <w:r>
        <w:rPr>
          <w:sz w:val="22"/>
          <w:szCs w:val="22"/>
          <w:lang w:val="bg-BG"/>
        </w:rPr>
        <w:t xml:space="preserve"> /модификация на либералния/ допуска ограничена </w:t>
      </w:r>
      <w:r>
        <w:rPr>
          <w:b/>
          <w:sz w:val="22"/>
          <w:szCs w:val="22"/>
          <w:lang w:val="bg-BG"/>
        </w:rPr>
        <w:t xml:space="preserve">държавна намеса </w:t>
      </w:r>
      <w:r>
        <w:rPr>
          <w:sz w:val="22"/>
          <w:szCs w:val="22"/>
          <w:lang w:val="bg-BG"/>
        </w:rPr>
        <w:t xml:space="preserve">за регулиране на социалните беди и неравенства, предизвикани от индустриализацията и икономическите кризи. Това е индустриално обвързан модел, при който социалните институции са обществено организирани и тясно преплетени с икономиката. Този тип СП гарантира </w:t>
      </w:r>
      <w:r>
        <w:rPr>
          <w:b/>
          <w:sz w:val="22"/>
          <w:szCs w:val="22"/>
          <w:lang w:val="bg-BG"/>
        </w:rPr>
        <w:t>“отвоювани права”</w:t>
      </w:r>
      <w:r>
        <w:rPr>
          <w:sz w:val="22"/>
          <w:szCs w:val="22"/>
          <w:lang w:val="bg-BG"/>
        </w:rPr>
        <w:t xml:space="preserve"> на социална защита и сигурност. Към либералния модел се причисляват страни като Великобритания,  САЩ, Япония и Швейцария. </w:t>
      </w:r>
    </w:p>
    <w:p>
      <w:pPr>
        <w:pStyle w:val="Normal"/>
        <w:spacing w:lineRule="auto" w:line="360"/>
        <w:ind w:firstLine="360"/>
        <w:jc w:val="both"/>
        <w:rPr/>
      </w:pPr>
      <w:r>
        <w:rPr>
          <w:b/>
          <w:sz w:val="22"/>
          <w:szCs w:val="22"/>
          <w:lang w:val="bg-BG"/>
        </w:rPr>
        <w:t>Неолибералната концепция /от началото на 20 век/ в Европа /</w:t>
      </w:r>
      <w:r>
        <w:rPr>
          <w:sz w:val="22"/>
          <w:szCs w:val="22"/>
          <w:lang w:val="bg-BG"/>
        </w:rPr>
        <w:t xml:space="preserve">резултат от появата на професионални съюзи и икономическите кризи/ </w:t>
      </w:r>
      <w:r>
        <w:rPr>
          <w:b/>
          <w:sz w:val="22"/>
          <w:szCs w:val="22"/>
          <w:lang w:val="bg-BG"/>
        </w:rPr>
        <w:t>допуска определена намеса на държавата в икономиката и в социалната сфера.</w:t>
      </w:r>
      <w:r>
        <w:rPr>
          <w:sz w:val="22"/>
          <w:szCs w:val="22"/>
          <w:lang w:val="bg-BG"/>
        </w:rPr>
        <w:t xml:space="preserve"> </w:t>
      </w:r>
      <w:r>
        <w:rPr>
          <w:b/>
          <w:sz w:val="22"/>
          <w:szCs w:val="22"/>
          <w:lang w:val="bg-BG"/>
        </w:rPr>
        <w:t>Новият европейски либерализъм /Фридрих фон Хайек/ акцентира върху солидарността.</w:t>
      </w:r>
      <w:r>
        <w:rPr>
          <w:sz w:val="22"/>
          <w:szCs w:val="22"/>
          <w:lang w:val="bg-BG"/>
        </w:rPr>
        <w:t xml:space="preserve"> Приема съществуващите неравенства в обществото и признава, че те пораждат социално напрежение, конфликти. Опитва се да съвмести естественото развитие на пазара и икономиката с оказване  на непосредствена помощ на нуждаещите се индивиди чрез нов модел СП - обществено организирана помощ. С държавна намеса се</w:t>
      </w:r>
      <w:r>
        <w:rPr>
          <w:b/>
          <w:sz w:val="22"/>
          <w:szCs w:val="22"/>
          <w:lang w:val="bg-BG"/>
        </w:rPr>
        <w:t xml:space="preserve"> смекчават негативните последици от безработицата, бедността, неравенството, които са според Хайек “социални болести и върху тях не следва да се сложи клеймото на осъдения”.  </w:t>
      </w:r>
    </w:p>
    <w:p>
      <w:pPr>
        <w:pStyle w:val="Normal"/>
        <w:spacing w:lineRule="auto" w:line="360"/>
        <w:ind w:firstLine="360"/>
        <w:jc w:val="both"/>
        <w:rPr/>
      </w:pPr>
      <w:r>
        <w:rPr>
          <w:sz w:val="22"/>
          <w:szCs w:val="22"/>
          <w:lang w:val="bg-BG"/>
        </w:rPr>
        <w:t xml:space="preserve">Според </w:t>
      </w:r>
      <w:r>
        <w:rPr>
          <w:b/>
          <w:sz w:val="22"/>
          <w:szCs w:val="22"/>
          <w:lang w:val="bg-BG"/>
        </w:rPr>
        <w:t>теорията на Кейнс</w:t>
      </w:r>
      <w:r>
        <w:rPr>
          <w:sz w:val="22"/>
          <w:szCs w:val="22"/>
          <w:lang w:val="bg-BG"/>
        </w:rPr>
        <w:t xml:space="preserve">, социалните въздействия  и регулации се осъществяват чрез задължителни социални трансфери по пътя на  </w:t>
      </w:r>
      <w:r>
        <w:rPr>
          <w:b/>
          <w:sz w:val="22"/>
          <w:szCs w:val="22"/>
          <w:lang w:val="bg-BG"/>
        </w:rPr>
        <w:t>вертикалното преразпределение</w:t>
      </w:r>
      <w:r>
        <w:rPr>
          <w:sz w:val="22"/>
          <w:szCs w:val="22"/>
          <w:lang w:val="bg-BG"/>
        </w:rPr>
        <w:t>, с което се гарантира потреблението на онази част от населението, която не получава  нищо или получава недостатъчно  при първичното разпределение на доходите. Ролята на държавата е да развива разумна  фискална дейност и да инвестира, за да създава необходимата заетост. Очевидно социалните решения на Кейнс  са продиктувани от необходимостите на икономиката и цикличността на производството.</w:t>
      </w:r>
    </w:p>
    <w:p>
      <w:pPr>
        <w:pStyle w:val="Normal"/>
        <w:spacing w:lineRule="auto" w:line="360"/>
        <w:ind w:firstLine="360"/>
        <w:jc w:val="both"/>
        <w:rPr/>
      </w:pPr>
      <w:r>
        <w:rPr>
          <w:sz w:val="22"/>
          <w:szCs w:val="22"/>
          <w:lang w:val="bg-BG"/>
        </w:rPr>
        <w:t xml:space="preserve">Вилфредо Парето доразвива неолибералната идея, като подчертава, че “ако промяната в политиката /социалната, бел.а./ прави живота на хората по-добър, то тя не следва да се отхвърля. Повишаване благосъстоянието на който и да е член на обществото не рефлектира негативно върху благосъстоянието на другите му членове, а води до нарастване на икономическото благосъстояние на обществото като цяло.” </w:t>
      </w:r>
    </w:p>
    <w:p>
      <w:pPr>
        <w:pStyle w:val="Normal"/>
        <w:spacing w:lineRule="auto" w:line="360"/>
        <w:ind w:firstLine="360"/>
        <w:jc w:val="both"/>
        <w:rPr>
          <w:sz w:val="22"/>
          <w:szCs w:val="22"/>
          <w:lang w:val="bg-BG"/>
        </w:rPr>
      </w:pPr>
      <w:r>
        <w:rPr>
          <w:sz w:val="22"/>
          <w:szCs w:val="22"/>
          <w:lang w:val="bg-BG"/>
        </w:rPr>
        <w:t>Неолибералистите отстояват идеята за децентрализацията на субектите на социалната политика и осъществяването й на по-високо равнище / в рамките на локалните общности/ /Джон Ст.Мил/.</w:t>
      </w:r>
    </w:p>
    <w:p>
      <w:pPr>
        <w:pStyle w:val="Normal"/>
        <w:spacing w:lineRule="auto" w:line="360"/>
        <w:ind w:firstLine="360"/>
        <w:jc w:val="both"/>
        <w:rPr>
          <w:sz w:val="22"/>
          <w:szCs w:val="22"/>
          <w:lang w:val="bg-BG"/>
        </w:rPr>
      </w:pPr>
      <w:r>
        <w:rPr>
          <w:sz w:val="22"/>
          <w:szCs w:val="22"/>
          <w:lang w:val="bg-BG"/>
        </w:rPr>
      </w:r>
    </w:p>
    <w:p>
      <w:pPr>
        <w:pStyle w:val="Normal"/>
        <w:spacing w:lineRule="auto" w:line="360"/>
        <w:ind w:firstLine="360"/>
        <w:jc w:val="both"/>
        <w:rPr/>
      </w:pPr>
      <w:r>
        <w:rPr>
          <w:sz w:val="22"/>
          <w:szCs w:val="22"/>
          <w:lang w:val="bg-BG"/>
        </w:rPr>
        <w:t>След ІІ св.война неолибералните идеи са обогатени с т.нар</w:t>
      </w:r>
      <w:r>
        <w:rPr>
          <w:b/>
          <w:sz w:val="22"/>
          <w:szCs w:val="22"/>
          <w:lang w:val="bg-BG"/>
        </w:rPr>
        <w:t xml:space="preserve">. идеология на “Средния път”. </w:t>
      </w:r>
      <w:r>
        <w:rPr>
          <w:sz w:val="22"/>
          <w:szCs w:val="22"/>
          <w:lang w:val="bg-BG"/>
        </w:rPr>
        <w:t xml:space="preserve">През този период се извършва социалната реформа на </w:t>
      </w:r>
      <w:r>
        <w:rPr>
          <w:b/>
          <w:sz w:val="22"/>
          <w:szCs w:val="22"/>
          <w:lang w:val="bg-BG"/>
        </w:rPr>
        <w:t>лорд Беверидж</w:t>
      </w:r>
      <w:r>
        <w:rPr>
          <w:sz w:val="22"/>
          <w:szCs w:val="22"/>
          <w:lang w:val="bg-BG"/>
        </w:rPr>
        <w:t xml:space="preserve"> във Великобритания, която въвежда </w:t>
      </w:r>
      <w:r>
        <w:rPr>
          <w:b/>
          <w:sz w:val="22"/>
          <w:szCs w:val="22"/>
          <w:lang w:val="bg-BG"/>
        </w:rPr>
        <w:t>универсалните принципи на социалнополитическа регулация;</w:t>
      </w:r>
      <w:r>
        <w:rPr>
          <w:sz w:val="22"/>
          <w:szCs w:val="22"/>
          <w:lang w:val="bg-BG"/>
        </w:rPr>
        <w:t xml:space="preserve"> шведския модел социална държава през 60 г. на ХХ в.; реформите в Чили след премахването на  диктатурата на генерал Пиночет; политиката на някои страни от Централна и Източна Европа /след 80 г. на ХХ век/, социално-икономическото развитие на Китай през последните 2 десетилетия на 20 в. Според  Д</w:t>
      </w:r>
      <w:r>
        <w:rPr>
          <w:b/>
          <w:sz w:val="22"/>
          <w:szCs w:val="22"/>
          <w:lang w:val="bg-BG"/>
        </w:rPr>
        <w:t>жон Дюи</w:t>
      </w:r>
      <w:r>
        <w:rPr>
          <w:sz w:val="22"/>
          <w:szCs w:val="22"/>
          <w:lang w:val="bg-BG"/>
        </w:rPr>
        <w:t xml:space="preserve"> “средният път” е синтез на политически либерализъм и икономически социализъм. Средният път залага на  социалната функция на държавата /властта/, която трябва да изглажда социалните противоречия и конфликти в обществото, без да се премахва  пазарната система, тъй като </w:t>
      </w:r>
      <w:r>
        <w:rPr>
          <w:b/>
          <w:sz w:val="22"/>
          <w:szCs w:val="22"/>
          <w:lang w:val="bg-BG"/>
        </w:rPr>
        <w:t>“свободният пазар е най-добрият начин да се организира икономиката, но е необходимо той да бъде направляван така, че неблагоприятните му ефекти да се компенсират и контролират чрез управлението”.</w:t>
      </w:r>
      <w:r>
        <w:rPr>
          <w:sz w:val="22"/>
          <w:szCs w:val="22"/>
          <w:lang w:val="bg-BG"/>
        </w:rPr>
        <w:t xml:space="preserve"> За теоретиците на Средния път  социалната държава </w:t>
      </w:r>
      <w:r>
        <w:rPr>
          <w:b/>
          <w:sz w:val="22"/>
          <w:szCs w:val="22"/>
          <w:lang w:val="bg-BG"/>
        </w:rPr>
        <w:t>не може да бъде творение на една-единствена партия, а на договореността между всички политически сили в обществото</w:t>
      </w:r>
      <w:r>
        <w:rPr>
          <w:sz w:val="22"/>
          <w:szCs w:val="22"/>
          <w:lang w:val="bg-BG"/>
        </w:rPr>
        <w:t>. Тя е рожба  на демокрацията, при която има пълен синхрон в отношенията между народ и държава.</w:t>
      </w:r>
    </w:p>
    <w:p>
      <w:pPr>
        <w:pStyle w:val="Normal"/>
        <w:spacing w:lineRule="auto" w:line="360"/>
        <w:ind w:firstLine="360"/>
        <w:jc w:val="both"/>
        <w:rPr/>
      </w:pPr>
      <w:r>
        <w:rPr>
          <w:b/>
          <w:sz w:val="22"/>
          <w:szCs w:val="22"/>
          <w:lang w:val="bg-BG"/>
        </w:rPr>
        <w:t>В началото на ХХІ век глобалната финансово-икономическа криза /от 2008 г./</w:t>
      </w:r>
      <w:r>
        <w:rPr>
          <w:sz w:val="22"/>
          <w:szCs w:val="22"/>
          <w:lang w:val="bg-BG"/>
        </w:rPr>
        <w:t xml:space="preserve"> опроверга тезата на Фридман за пълната икономическа свобода и държавна ненамеса в икономическия живот. Новата администрация на Белия дом предприе бързи антикризисни мерки, които по същество са държавна намеса в икономиката и антитеза на господстващите до кризата либерални идеи.  Срещата на върха на представителите на 20 развити държави в Европа /2009 г./ доказа практическата значимост на неолибералната концепция за преодоляване на глобалната икономическа криза в Европа и света.  </w:t>
      </w:r>
    </w:p>
    <w:p>
      <w:pPr>
        <w:pStyle w:val="Normal"/>
        <w:spacing w:lineRule="auto" w:line="360"/>
        <w:ind w:firstLine="360"/>
        <w:jc w:val="both"/>
        <w:rPr/>
      </w:pPr>
      <w:r>
        <w:rPr>
          <w:sz w:val="22"/>
          <w:szCs w:val="22"/>
          <w:lang w:val="bg-BG"/>
        </w:rPr>
        <w:t>По този начин в</w:t>
      </w:r>
      <w:r>
        <w:rPr>
          <w:b/>
          <w:sz w:val="22"/>
          <w:szCs w:val="22"/>
          <w:lang w:val="bg-BG"/>
        </w:rPr>
        <w:t xml:space="preserve"> началото на ХХІ век</w:t>
      </w:r>
      <w:r>
        <w:rPr>
          <w:sz w:val="22"/>
          <w:szCs w:val="22"/>
          <w:lang w:val="bg-BG"/>
        </w:rPr>
        <w:t xml:space="preserve"> неолибералният модел на СП  отстъпва място на нов тип СП, характеризираща се със </w:t>
      </w:r>
      <w:r>
        <w:rPr>
          <w:b/>
          <w:sz w:val="22"/>
          <w:szCs w:val="22"/>
          <w:lang w:val="bg-BG"/>
        </w:rPr>
        <w:t>силна държавна намеса в социалните регулации</w:t>
      </w:r>
      <w:r>
        <w:rPr>
          <w:sz w:val="22"/>
          <w:szCs w:val="22"/>
          <w:lang w:val="bg-BG"/>
        </w:rPr>
        <w:t xml:space="preserve">, като крайно наложителна антикризисна мярка срещу глобалната икономическа криза от 2008 г. / САЩ, страните от ЕС, Япония/. </w:t>
      </w:r>
    </w:p>
    <w:p>
      <w:pPr>
        <w:pStyle w:val="Normal"/>
        <w:spacing w:lineRule="auto" w:line="360"/>
        <w:ind w:firstLine="360"/>
        <w:jc w:val="both"/>
        <w:rPr>
          <w:sz w:val="22"/>
          <w:szCs w:val="22"/>
          <w:lang w:val="bg-BG"/>
        </w:rPr>
      </w:pPr>
      <w:r>
        <w:rPr>
          <w:sz w:val="22"/>
          <w:szCs w:val="22"/>
          <w:lang w:val="bg-BG"/>
        </w:rPr>
      </w:r>
    </w:p>
    <w:p>
      <w:pPr>
        <w:pStyle w:val="Normal"/>
        <w:spacing w:lineRule="auto" w:line="360"/>
        <w:ind w:firstLine="360"/>
        <w:jc w:val="both"/>
        <w:rPr/>
      </w:pPr>
      <w:r>
        <w:rPr>
          <w:b/>
          <w:sz w:val="22"/>
          <w:szCs w:val="22"/>
          <w:lang w:val="bg-BG"/>
        </w:rPr>
        <w:t>Самостоятелна работа на студентите</w:t>
      </w:r>
      <w:r>
        <w:rPr>
          <w:sz w:val="22"/>
          <w:szCs w:val="22"/>
          <w:lang w:val="bg-BG"/>
        </w:rPr>
        <w:t>: презентация на реферати, свързани със социалната политика на  държави с либерален/неолиберален модел.</w:t>
      </w:r>
    </w:p>
    <w:p>
      <w:pPr>
        <w:pStyle w:val="Normal"/>
        <w:spacing w:lineRule="auto" w:line="360"/>
        <w:ind w:firstLine="360"/>
        <w:jc w:val="both"/>
        <w:rPr>
          <w:sz w:val="22"/>
          <w:szCs w:val="22"/>
          <w:lang w:val="bg-BG"/>
        </w:rPr>
      </w:pPr>
      <w:r>
        <w:rPr>
          <w:sz w:val="22"/>
          <w:szCs w:val="22"/>
          <w:lang w:val="bg-BG"/>
        </w:rPr>
      </w:r>
    </w:p>
    <w:p>
      <w:pPr>
        <w:pStyle w:val="Normal"/>
        <w:spacing w:lineRule="auto" w:line="360"/>
        <w:ind w:firstLine="360"/>
        <w:jc w:val="center"/>
        <w:rPr>
          <w:b/>
          <w:b/>
          <w:sz w:val="22"/>
          <w:szCs w:val="22"/>
          <w:lang w:val="bg-BG"/>
        </w:rPr>
      </w:pPr>
      <w:r>
        <w:rPr>
          <w:b/>
          <w:sz w:val="22"/>
          <w:szCs w:val="22"/>
          <w:lang w:val="bg-BG"/>
        </w:rPr>
        <w:t>ЕГАЛИТАРЕН МОДЕЛ НА СОЦИАЛНА ПОЛИТИКА</w:t>
      </w:r>
    </w:p>
    <w:p>
      <w:pPr>
        <w:pStyle w:val="Normal"/>
        <w:spacing w:lineRule="auto" w:line="360"/>
        <w:ind w:firstLine="360"/>
        <w:jc w:val="both"/>
        <w:rPr>
          <w:b/>
          <w:b/>
          <w:sz w:val="22"/>
          <w:szCs w:val="22"/>
          <w:lang w:val="bg-BG"/>
        </w:rPr>
      </w:pPr>
      <w:r>
        <w:rPr>
          <w:b/>
          <w:sz w:val="22"/>
          <w:szCs w:val="22"/>
          <w:lang w:val="bg-BG"/>
        </w:rPr>
      </w:r>
    </w:p>
    <w:p>
      <w:pPr>
        <w:pStyle w:val="Normal"/>
        <w:spacing w:lineRule="auto" w:line="360"/>
        <w:ind w:firstLine="360"/>
        <w:jc w:val="both"/>
        <w:rPr/>
      </w:pPr>
      <w:r>
        <w:rPr>
          <w:b/>
          <w:sz w:val="22"/>
          <w:szCs w:val="22"/>
          <w:lang w:val="bg-BG"/>
        </w:rPr>
        <w:t xml:space="preserve">Егалитарно ориентираният модел на СП е с основна цел гарантиране на колективна  социална сигурност, </w:t>
      </w:r>
      <w:r>
        <w:rPr>
          <w:sz w:val="22"/>
          <w:szCs w:val="22"/>
          <w:lang w:val="bg-BG"/>
        </w:rPr>
        <w:t xml:space="preserve">тип </w:t>
      </w:r>
      <w:r>
        <w:rPr>
          <w:b/>
          <w:sz w:val="22"/>
          <w:szCs w:val="22"/>
          <w:lang w:val="bg-BG"/>
        </w:rPr>
        <w:t>“грижа на държавата”, социалетатистки/.</w:t>
      </w:r>
      <w:r>
        <w:rPr>
          <w:sz w:val="22"/>
          <w:szCs w:val="22"/>
          <w:lang w:val="bg-BG"/>
        </w:rPr>
        <w:t xml:space="preserve">  Изграден е върху европейската парадигма </w:t>
      </w:r>
      <w:r>
        <w:rPr>
          <w:b/>
          <w:sz w:val="22"/>
          <w:szCs w:val="22"/>
          <w:lang w:val="bg-BG"/>
        </w:rPr>
        <w:t>„държава на благоденствието</w:t>
      </w:r>
      <w:r>
        <w:rPr>
          <w:sz w:val="22"/>
          <w:szCs w:val="22"/>
          <w:lang w:val="bg-BG"/>
        </w:rPr>
        <w:t xml:space="preserve">” с ясно очертани две основополагащи цели: ефективност /при разпределението на разходите/ и равенство /при ползването на  социалните услуги/. </w:t>
      </w:r>
    </w:p>
    <w:p>
      <w:pPr>
        <w:pStyle w:val="Normal"/>
        <w:spacing w:lineRule="auto" w:line="360"/>
        <w:ind w:firstLine="360"/>
        <w:jc w:val="both"/>
        <w:rPr>
          <w:sz w:val="22"/>
          <w:szCs w:val="22"/>
          <w:lang w:val="bg-BG"/>
        </w:rPr>
      </w:pPr>
      <w:r>
        <w:rPr>
          <w:sz w:val="22"/>
          <w:szCs w:val="22"/>
          <w:lang w:val="bg-BG"/>
        </w:rPr>
        <w:t xml:space="preserve">В съответствие с парадигмата са  въведени минимални стандарти в политиките на заетост, заплащане, социално осигуряване, публични услуги и жилища. Моделът се реализира чрез централизирано управление, преразпределителни  механизма /данъчно облагане/ и осигурено  равенство на „изхода” при разпределение на резултатите от съвкупния обществен труд. Държавата създава специализирани институции, които администрират социалното  подпомагане и защита; част от пазарните услуги превръща  в публични, които стават универсални и достъпни. Държавата  системно  задоволява определен кръг от социални потребности на гражданите без да чака намесата на  други  недържавни  структури. Държавните социални институции предлагат универсални и непазарно ориентирани услуги и плащания, достъпът до които се определя от потребностите на обществото. </w:t>
      </w:r>
    </w:p>
    <w:p>
      <w:pPr>
        <w:pStyle w:val="Normal"/>
        <w:spacing w:lineRule="auto" w:line="360"/>
        <w:ind w:firstLine="360"/>
        <w:jc w:val="both"/>
        <w:rPr/>
      </w:pPr>
      <w:r>
        <w:rPr>
          <w:sz w:val="22"/>
          <w:szCs w:val="22"/>
          <w:lang w:val="bg-BG"/>
        </w:rPr>
        <w:t xml:space="preserve">Егалитарният модел има и териториални модификации, известни  с различини наименования. Според </w:t>
      </w:r>
      <w:r>
        <w:rPr>
          <w:b/>
          <w:sz w:val="22"/>
          <w:szCs w:val="22"/>
          <w:lang w:val="bg-BG"/>
        </w:rPr>
        <w:t>Е.Андерсен</w:t>
      </w:r>
      <w:r>
        <w:rPr>
          <w:sz w:val="22"/>
          <w:szCs w:val="22"/>
          <w:lang w:val="bg-BG"/>
        </w:rPr>
        <w:t xml:space="preserve"> това са </w:t>
      </w:r>
      <w:r>
        <w:rPr>
          <w:b/>
          <w:sz w:val="22"/>
          <w:szCs w:val="22"/>
          <w:lang w:val="bg-BG"/>
        </w:rPr>
        <w:t>северен,  централноевропейски, англосаксонски и среден тип.</w:t>
      </w:r>
      <w:r>
        <w:rPr>
          <w:sz w:val="22"/>
          <w:szCs w:val="22"/>
          <w:lang w:val="bg-BG"/>
        </w:rPr>
        <w:t xml:space="preserve"> </w:t>
      </w:r>
    </w:p>
    <w:p>
      <w:pPr>
        <w:pStyle w:val="Normal"/>
        <w:spacing w:lineRule="auto" w:line="360"/>
        <w:ind w:firstLine="360"/>
        <w:jc w:val="both"/>
        <w:rPr/>
      </w:pPr>
      <w:r>
        <w:rPr>
          <w:sz w:val="22"/>
          <w:szCs w:val="22"/>
          <w:lang w:val="bg-BG"/>
        </w:rPr>
        <w:tab/>
        <w:t xml:space="preserve">При </w:t>
      </w:r>
      <w:r>
        <w:rPr>
          <w:b/>
          <w:sz w:val="22"/>
          <w:szCs w:val="22"/>
          <w:lang w:val="bg-BG"/>
        </w:rPr>
        <w:t>северния</w:t>
      </w:r>
      <w:r>
        <w:rPr>
          <w:sz w:val="22"/>
          <w:szCs w:val="22"/>
          <w:lang w:val="bg-BG"/>
        </w:rPr>
        <w:t xml:space="preserve"> е налице  високо  данъчно  облагане и реални възможности за работа, предоставени от държавата.</w:t>
      </w:r>
    </w:p>
    <w:p>
      <w:pPr>
        <w:pStyle w:val="Normal"/>
        <w:spacing w:lineRule="auto" w:line="360"/>
        <w:ind w:firstLine="360"/>
        <w:jc w:val="both"/>
        <w:rPr/>
      </w:pPr>
      <w:r>
        <w:rPr>
          <w:sz w:val="22"/>
          <w:szCs w:val="22"/>
          <w:lang w:val="bg-BG"/>
        </w:rPr>
        <w:t xml:space="preserve"> </w:t>
      </w:r>
      <w:r>
        <w:rPr>
          <w:sz w:val="22"/>
          <w:szCs w:val="22"/>
          <w:lang w:val="bg-BG"/>
        </w:rPr>
        <w:t xml:space="preserve">При </w:t>
      </w:r>
      <w:r>
        <w:rPr>
          <w:b/>
          <w:sz w:val="22"/>
          <w:szCs w:val="22"/>
          <w:lang w:val="bg-BG"/>
        </w:rPr>
        <w:t>централноевропейския</w:t>
      </w:r>
      <w:r>
        <w:rPr>
          <w:sz w:val="22"/>
          <w:szCs w:val="22"/>
          <w:lang w:val="bg-BG"/>
        </w:rPr>
        <w:t xml:space="preserve"> облагането е предимно за сметка на  доходите от труд.</w:t>
      </w:r>
    </w:p>
    <w:p>
      <w:pPr>
        <w:pStyle w:val="Normal"/>
        <w:spacing w:lineRule="auto" w:line="360"/>
        <w:ind w:firstLine="360"/>
        <w:jc w:val="both"/>
        <w:rPr/>
      </w:pPr>
      <w:r>
        <w:rPr>
          <w:sz w:val="22"/>
          <w:szCs w:val="22"/>
          <w:lang w:val="bg-BG"/>
        </w:rPr>
        <w:t xml:space="preserve"> </w:t>
      </w:r>
      <w:r>
        <w:rPr>
          <w:b/>
          <w:sz w:val="22"/>
          <w:szCs w:val="22"/>
          <w:lang w:val="bg-BG"/>
        </w:rPr>
        <w:t>В англосаксонския</w:t>
      </w:r>
      <w:r>
        <w:rPr>
          <w:sz w:val="22"/>
          <w:szCs w:val="22"/>
          <w:lang w:val="bg-BG"/>
        </w:rPr>
        <w:t xml:space="preserve"> същестувват  ниски данъци и активно действащи целенасочени политики.</w:t>
      </w:r>
    </w:p>
    <w:p>
      <w:pPr>
        <w:pStyle w:val="Normal"/>
        <w:spacing w:lineRule="auto" w:line="360"/>
        <w:ind w:firstLine="360"/>
        <w:jc w:val="both"/>
        <w:rPr/>
      </w:pPr>
      <w:r>
        <w:rPr>
          <w:b/>
          <w:sz w:val="22"/>
          <w:szCs w:val="22"/>
          <w:lang w:val="bg-BG"/>
        </w:rPr>
        <w:t>В средния тип</w:t>
      </w:r>
      <w:r>
        <w:rPr>
          <w:sz w:val="22"/>
          <w:szCs w:val="22"/>
          <w:lang w:val="bg-BG"/>
        </w:rPr>
        <w:t xml:space="preserve"> – ниски данъци, компенсирани от семейни  осигурителни и семейни подкрепящи системи за колективна защита /Е.Андерсен/. </w:t>
      </w:r>
    </w:p>
    <w:p>
      <w:pPr>
        <w:pStyle w:val="Normal"/>
        <w:spacing w:lineRule="auto" w:line="360"/>
        <w:ind w:firstLine="360"/>
        <w:jc w:val="both"/>
        <w:rPr/>
      </w:pPr>
      <w:r>
        <w:rPr>
          <w:b/>
          <w:sz w:val="22"/>
          <w:szCs w:val="22"/>
          <w:lang w:val="bg-BG"/>
        </w:rPr>
        <w:t>А.Сапир</w:t>
      </w:r>
      <w:r>
        <w:rPr>
          <w:sz w:val="22"/>
          <w:szCs w:val="22"/>
          <w:lang w:val="bg-BG"/>
        </w:rPr>
        <w:t xml:space="preserve">  разграничава  също  четири субрегиона на европейския социален модер – </w:t>
      </w:r>
      <w:r>
        <w:rPr>
          <w:b/>
          <w:sz w:val="22"/>
          <w:szCs w:val="22"/>
          <w:lang w:val="bg-BG"/>
        </w:rPr>
        <w:t>нордически</w:t>
      </w:r>
      <w:r>
        <w:rPr>
          <w:sz w:val="22"/>
          <w:szCs w:val="22"/>
          <w:lang w:val="bg-BG"/>
        </w:rPr>
        <w:t xml:space="preserve">, отнасящ се за скандинавските страни; </w:t>
      </w:r>
      <w:r>
        <w:rPr>
          <w:b/>
          <w:sz w:val="22"/>
          <w:szCs w:val="22"/>
          <w:lang w:val="bg-BG"/>
        </w:rPr>
        <w:t>англосаксонски</w:t>
      </w:r>
      <w:r>
        <w:rPr>
          <w:sz w:val="22"/>
          <w:szCs w:val="22"/>
          <w:lang w:val="bg-BG"/>
        </w:rPr>
        <w:t xml:space="preserve"> /Англия и Ирландия/; </w:t>
      </w:r>
      <w:r>
        <w:rPr>
          <w:b/>
          <w:sz w:val="22"/>
          <w:szCs w:val="22"/>
          <w:lang w:val="bg-BG"/>
        </w:rPr>
        <w:t>континентален</w:t>
      </w:r>
      <w:r>
        <w:rPr>
          <w:sz w:val="22"/>
          <w:szCs w:val="22"/>
          <w:lang w:val="bg-BG"/>
        </w:rPr>
        <w:t xml:space="preserve"> /Централна Европа/ и </w:t>
      </w:r>
      <w:r>
        <w:rPr>
          <w:b/>
          <w:sz w:val="22"/>
          <w:szCs w:val="22"/>
          <w:lang w:val="bg-BG"/>
        </w:rPr>
        <w:t>средиземноморски</w:t>
      </w:r>
      <w:r>
        <w:rPr>
          <w:sz w:val="22"/>
          <w:szCs w:val="22"/>
          <w:lang w:val="bg-BG"/>
        </w:rPr>
        <w:t xml:space="preserve"> /Италия, Испания, Гърция, Португалия/.</w:t>
      </w:r>
    </w:p>
    <w:p>
      <w:pPr>
        <w:pStyle w:val="Normal"/>
        <w:spacing w:lineRule="auto" w:line="360"/>
        <w:ind w:firstLine="360"/>
        <w:jc w:val="both"/>
        <w:rPr>
          <w:b/>
          <w:b/>
          <w:sz w:val="22"/>
          <w:szCs w:val="22"/>
          <w:lang w:val="bg-BG"/>
        </w:rPr>
      </w:pPr>
      <w:r>
        <w:rPr>
          <w:b/>
          <w:sz w:val="22"/>
          <w:szCs w:val="22"/>
          <w:lang w:val="bg-BG"/>
        </w:rPr>
      </w:r>
    </w:p>
    <w:p>
      <w:pPr>
        <w:pStyle w:val="Normal"/>
        <w:spacing w:lineRule="auto" w:line="360"/>
        <w:ind w:firstLine="360"/>
        <w:jc w:val="both"/>
        <w:rPr>
          <w:b/>
          <w:b/>
          <w:sz w:val="22"/>
          <w:szCs w:val="22"/>
          <w:lang w:val="bg-BG"/>
        </w:rPr>
      </w:pPr>
      <w:r>
        <w:rPr>
          <w:b/>
          <w:sz w:val="22"/>
          <w:szCs w:val="22"/>
          <w:lang w:val="bg-BG"/>
        </w:rPr>
      </w:r>
    </w:p>
    <w:p>
      <w:pPr>
        <w:pStyle w:val="Normal"/>
        <w:spacing w:lineRule="auto" w:line="360"/>
        <w:ind w:firstLine="360"/>
        <w:jc w:val="center"/>
        <w:rPr>
          <w:b/>
          <w:b/>
          <w:sz w:val="22"/>
          <w:szCs w:val="22"/>
          <w:lang w:val="bg-BG"/>
        </w:rPr>
      </w:pPr>
      <w:r>
        <w:rPr>
          <w:b/>
          <w:sz w:val="22"/>
          <w:szCs w:val="22"/>
          <w:lang w:val="bg-BG"/>
        </w:rPr>
        <w:t>МОДЕЛ НА СОЦИАЛНА ПОЛИТИКА В БИВШИТЕ СОЦИАЛИСТИЧЕСКИ СТРАНИ</w:t>
      </w:r>
    </w:p>
    <w:p>
      <w:pPr>
        <w:pStyle w:val="Normal"/>
        <w:spacing w:lineRule="auto" w:line="360"/>
        <w:ind w:firstLine="360"/>
        <w:jc w:val="center"/>
        <w:rPr>
          <w:b/>
          <w:b/>
          <w:sz w:val="22"/>
          <w:szCs w:val="22"/>
          <w:lang w:val="bg-BG"/>
        </w:rPr>
      </w:pPr>
      <w:r>
        <w:rPr>
          <w:b/>
          <w:sz w:val="22"/>
          <w:szCs w:val="22"/>
          <w:lang w:val="bg-BG"/>
        </w:rPr>
      </w:r>
    </w:p>
    <w:p>
      <w:pPr>
        <w:pStyle w:val="Normal"/>
        <w:spacing w:lineRule="auto" w:line="360"/>
        <w:ind w:firstLine="360"/>
        <w:jc w:val="both"/>
        <w:rPr/>
      </w:pPr>
      <w:r>
        <w:rPr>
          <w:sz w:val="22"/>
          <w:szCs w:val="22"/>
          <w:lang w:val="bg-BG"/>
        </w:rPr>
        <w:t xml:space="preserve">Този модел е </w:t>
      </w:r>
      <w:r>
        <w:rPr>
          <w:b/>
          <w:sz w:val="22"/>
          <w:szCs w:val="22"/>
          <w:lang w:val="bg-BG"/>
        </w:rPr>
        <w:t>егалитарен тип</w:t>
      </w:r>
      <w:r>
        <w:rPr>
          <w:sz w:val="22"/>
          <w:szCs w:val="22"/>
          <w:lang w:val="bg-BG"/>
        </w:rPr>
        <w:t xml:space="preserve">, гарантиращ колективна социална сигурност. Изграден е върху доктрината на  държавния социализъм със силно присъствие на държавата и отсъствие на  гражданския контрол. Основни принципи са равенството, справедливостта и солидарността  между поколенията. Предметният й обхват са пакет от  публични  блага  иуслуги/в областта на заетостта, трудовите доходи, охраната на труда и околнанта и  жилищна среда, здравеопазването, образованието, социалното осигуряване и социалното  подпомагане/.  Държавата осигурява равен достъп на  всички  граждани за ползването им  според техните потребности. </w:t>
      </w:r>
    </w:p>
    <w:p>
      <w:pPr>
        <w:pStyle w:val="Normal"/>
        <w:spacing w:lineRule="auto" w:line="360"/>
        <w:ind w:firstLine="360"/>
        <w:jc w:val="both"/>
        <w:rPr/>
      </w:pPr>
      <w:r>
        <w:rPr>
          <w:sz w:val="22"/>
          <w:szCs w:val="22"/>
          <w:lang w:val="bg-BG"/>
        </w:rPr>
        <w:t xml:space="preserve">Моделът се  реализира чрез </w:t>
      </w:r>
      <w:r>
        <w:rPr>
          <w:b/>
          <w:sz w:val="22"/>
          <w:szCs w:val="22"/>
          <w:lang w:val="bg-BG"/>
        </w:rPr>
        <w:t>две форми</w:t>
      </w:r>
      <w:r>
        <w:rPr>
          <w:sz w:val="22"/>
          <w:szCs w:val="22"/>
          <w:lang w:val="bg-BG"/>
        </w:rPr>
        <w:t xml:space="preserve">: централизирана и децентрализирана. </w:t>
      </w:r>
    </w:p>
    <w:p>
      <w:pPr>
        <w:pStyle w:val="Normal"/>
        <w:spacing w:lineRule="auto" w:line="360"/>
        <w:ind w:firstLine="360"/>
        <w:jc w:val="both"/>
        <w:rPr/>
      </w:pPr>
      <w:r>
        <w:rPr>
          <w:b/>
          <w:sz w:val="22"/>
          <w:szCs w:val="22"/>
          <w:lang w:val="bg-BG"/>
        </w:rPr>
        <w:t>Централизираната</w:t>
      </w:r>
      <w:r>
        <w:rPr>
          <w:sz w:val="22"/>
          <w:szCs w:val="22"/>
          <w:lang w:val="bg-BG"/>
        </w:rPr>
        <w:t xml:space="preserve"> е изградена на  принципа на данъчното облагане на доходите от труд и бюджетно финансиране на всички  дейности на СП /от обществените фондове за потребление/.</w:t>
      </w:r>
    </w:p>
    <w:p>
      <w:pPr>
        <w:pStyle w:val="Normal"/>
        <w:spacing w:lineRule="auto" w:line="360"/>
        <w:ind w:firstLine="360"/>
        <w:jc w:val="both"/>
        <w:rPr/>
      </w:pPr>
      <w:r>
        <w:rPr>
          <w:b/>
          <w:sz w:val="22"/>
          <w:szCs w:val="22"/>
          <w:lang w:val="bg-BG"/>
        </w:rPr>
        <w:t xml:space="preserve">Децентрализираната </w:t>
      </w:r>
      <w:r>
        <w:rPr>
          <w:sz w:val="22"/>
          <w:szCs w:val="22"/>
          <w:lang w:val="bg-BG"/>
        </w:rPr>
        <w:t xml:space="preserve">– е изградена на принципа на отчислени финасови средства от печалбата на  предприятията /фонд „Социалнобитови и културни мероприятия”/. </w:t>
      </w:r>
    </w:p>
    <w:p>
      <w:pPr>
        <w:pStyle w:val="Normal"/>
        <w:spacing w:lineRule="auto" w:line="360"/>
        <w:ind w:firstLine="360"/>
        <w:jc w:val="both"/>
        <w:rPr/>
      </w:pPr>
      <w:r>
        <w:rPr>
          <w:sz w:val="22"/>
          <w:szCs w:val="22"/>
          <w:lang w:val="bg-BG"/>
        </w:rPr>
        <w:t xml:space="preserve">Реформите, извършени  в страните от  Централна  и Източна Европа от края на 90-те г. на ХХ в., предизвикват  промени и в модела на  СП, известен като </w:t>
      </w:r>
      <w:r>
        <w:rPr>
          <w:b/>
          <w:sz w:val="22"/>
          <w:szCs w:val="22"/>
          <w:lang w:val="bg-BG"/>
        </w:rPr>
        <w:t>МОДЕЛ НА ПРЕХОДА</w:t>
      </w:r>
      <w:r>
        <w:rPr>
          <w:sz w:val="22"/>
          <w:szCs w:val="22"/>
          <w:lang w:val="bg-BG"/>
        </w:rPr>
        <w:t xml:space="preserve">, с типично неолиберални характеристики – ограничена социална защита,  дерегулация на  трудовите паари, твърда бюджетна политика, потискаща растежа на работните заплати, маргинализация на социалния диалог /синдикати, работодатели и държава/. </w:t>
      </w:r>
    </w:p>
    <w:p>
      <w:pPr>
        <w:pStyle w:val="Normal"/>
        <w:spacing w:lineRule="auto" w:line="360"/>
        <w:ind w:firstLine="360"/>
        <w:jc w:val="both"/>
        <w:rPr/>
      </w:pPr>
      <w:r>
        <w:rPr>
          <w:sz w:val="22"/>
          <w:szCs w:val="22"/>
          <w:lang w:val="bg-BG"/>
        </w:rPr>
        <w:tab/>
        <w:t xml:space="preserve">След 2004 г. с присъединяването на  8  източноевропейски страни  към ЕС и България и Румъния  през 2007 г., </w:t>
      </w:r>
      <w:r>
        <w:rPr>
          <w:b/>
          <w:sz w:val="22"/>
          <w:szCs w:val="22"/>
          <w:lang w:val="bg-BG"/>
        </w:rPr>
        <w:t>този модел се пременя в две посоки</w:t>
      </w:r>
      <w:r>
        <w:rPr>
          <w:sz w:val="22"/>
          <w:szCs w:val="22"/>
          <w:lang w:val="bg-BG"/>
        </w:rPr>
        <w:t xml:space="preserve"> – едновременно към традиционния  европейски социален модел и към неолибералния модел. Настоящата глобална икономическа криза /от 2008 г./ налага да се търсят възможни и верни решения за СП, която да осигурява социалните потребности на големи групи  и слоеве, засегнати от нея.</w:t>
      </w:r>
    </w:p>
    <w:p>
      <w:pPr>
        <w:pStyle w:val="Normal"/>
        <w:spacing w:lineRule="auto" w:line="360"/>
        <w:ind w:firstLine="360"/>
        <w:jc w:val="both"/>
        <w:rPr>
          <w:sz w:val="22"/>
          <w:szCs w:val="22"/>
          <w:lang w:val="bg-BG"/>
        </w:rPr>
      </w:pPr>
      <w:r>
        <w:rPr>
          <w:sz w:val="22"/>
          <w:szCs w:val="22"/>
          <w:lang w:val="bg-BG"/>
        </w:rPr>
      </w:r>
    </w:p>
    <w:p>
      <w:pPr>
        <w:pStyle w:val="Normal"/>
        <w:spacing w:lineRule="auto" w:line="360"/>
        <w:ind w:firstLine="360"/>
        <w:jc w:val="both"/>
        <w:rPr>
          <w:sz w:val="22"/>
          <w:szCs w:val="22"/>
          <w:lang w:val="bg-BG"/>
        </w:rPr>
      </w:pPr>
      <w:r>
        <w:rPr>
          <w:sz w:val="22"/>
          <w:szCs w:val="22"/>
          <w:lang w:val="bg-BG"/>
        </w:rPr>
        <w:tab/>
        <w:tab/>
      </w:r>
    </w:p>
    <w:p>
      <w:pPr>
        <w:pStyle w:val="Normal"/>
        <w:spacing w:lineRule="auto" w:line="360"/>
        <w:ind w:firstLine="360"/>
        <w:jc w:val="center"/>
        <w:rPr>
          <w:b/>
          <w:b/>
          <w:sz w:val="22"/>
          <w:szCs w:val="22"/>
          <w:lang w:val="bg-BG"/>
        </w:rPr>
      </w:pPr>
      <w:r>
        <w:rPr>
          <w:b/>
          <w:sz w:val="22"/>
          <w:szCs w:val="22"/>
          <w:lang w:val="bg-BG"/>
        </w:rPr>
        <w:t>ЕВРОПЕЙСКИ СОЦИАЛЕН МОДЕЛ</w:t>
      </w:r>
    </w:p>
    <w:p>
      <w:pPr>
        <w:pStyle w:val="Normal"/>
        <w:spacing w:lineRule="auto" w:line="360"/>
        <w:ind w:firstLine="360"/>
        <w:jc w:val="center"/>
        <w:rPr>
          <w:b/>
          <w:b/>
          <w:sz w:val="22"/>
          <w:szCs w:val="22"/>
          <w:lang w:val="bg-BG"/>
        </w:rPr>
      </w:pPr>
      <w:r>
        <w:rPr>
          <w:b/>
          <w:sz w:val="22"/>
          <w:szCs w:val="22"/>
          <w:lang w:val="bg-BG"/>
        </w:rPr>
      </w:r>
    </w:p>
    <w:p>
      <w:pPr>
        <w:pStyle w:val="Normal"/>
        <w:spacing w:lineRule="auto" w:line="360"/>
        <w:ind w:firstLine="360"/>
        <w:jc w:val="both"/>
        <w:rPr/>
      </w:pPr>
      <w:r>
        <w:rPr>
          <w:sz w:val="22"/>
          <w:szCs w:val="22"/>
          <w:lang w:val="bg-BG"/>
        </w:rPr>
        <w:t xml:space="preserve">Европейският социален модел е също </w:t>
      </w:r>
      <w:r>
        <w:rPr>
          <w:b/>
          <w:sz w:val="22"/>
          <w:szCs w:val="22"/>
          <w:lang w:val="bg-BG"/>
        </w:rPr>
        <w:t>егалитарен тип</w:t>
      </w:r>
      <w:r>
        <w:rPr>
          <w:sz w:val="22"/>
          <w:szCs w:val="22"/>
          <w:lang w:val="bg-BG"/>
        </w:rPr>
        <w:t xml:space="preserve">. За неговото изясняване е необходимо да се дефинират следните три понятия – </w:t>
      </w:r>
      <w:r>
        <w:rPr>
          <w:b/>
          <w:sz w:val="22"/>
          <w:szCs w:val="22"/>
          <w:lang w:val="bg-BG"/>
        </w:rPr>
        <w:t>Социална Европа, Държава на благоденствието и Европейски социален модел.</w:t>
      </w:r>
      <w:r>
        <w:rPr>
          <w:sz w:val="22"/>
          <w:szCs w:val="22"/>
          <w:lang w:val="bg-BG"/>
        </w:rPr>
        <w:t xml:space="preserve">  Тези понятия присъстват в редица публикации и документи, които регламентират  дейността на институциите в обединена Европа. Те не са синоними.</w:t>
      </w:r>
    </w:p>
    <w:p>
      <w:pPr>
        <w:pStyle w:val="Normal"/>
        <w:spacing w:lineRule="auto" w:line="360"/>
        <w:jc w:val="both"/>
        <w:rPr/>
      </w:pPr>
      <w:r>
        <w:rPr>
          <w:sz w:val="22"/>
          <w:szCs w:val="22"/>
          <w:lang w:val="bg-BG"/>
        </w:rPr>
        <w:t>- „</w:t>
      </w:r>
      <w:r>
        <w:rPr>
          <w:i/>
          <w:sz w:val="22"/>
          <w:szCs w:val="22"/>
          <w:lang w:val="bg-BG"/>
        </w:rPr>
        <w:t>Социална Европа</w:t>
      </w:r>
      <w:r>
        <w:rPr>
          <w:sz w:val="22"/>
          <w:szCs w:val="22"/>
          <w:lang w:val="bg-BG"/>
        </w:rPr>
        <w:t>” – това е политическо понятие за типа общност, която  се изгражда на стария континент;</w:t>
      </w:r>
    </w:p>
    <w:p>
      <w:pPr>
        <w:pStyle w:val="Normal"/>
        <w:spacing w:lineRule="auto" w:line="360"/>
        <w:jc w:val="both"/>
        <w:rPr/>
      </w:pPr>
      <w:r>
        <w:rPr>
          <w:sz w:val="22"/>
          <w:szCs w:val="22"/>
          <w:lang w:val="bg-BG"/>
        </w:rPr>
        <w:t xml:space="preserve">- </w:t>
      </w:r>
      <w:r>
        <w:rPr>
          <w:i/>
          <w:sz w:val="22"/>
          <w:szCs w:val="22"/>
          <w:lang w:val="bg-BG"/>
        </w:rPr>
        <w:t>„Държава на благоденствието”</w:t>
      </w:r>
      <w:r>
        <w:rPr>
          <w:sz w:val="22"/>
          <w:szCs w:val="22"/>
          <w:lang w:val="bg-BG"/>
        </w:rPr>
        <w:t xml:space="preserve"> – е господстващата парадигма в общественото устройство  на западноевропейските държави  след  Втората световна война;</w:t>
      </w:r>
    </w:p>
    <w:p>
      <w:pPr>
        <w:pStyle w:val="Normal"/>
        <w:spacing w:lineRule="auto" w:line="360"/>
        <w:jc w:val="both"/>
        <w:rPr/>
      </w:pPr>
      <w:r>
        <w:rPr>
          <w:sz w:val="22"/>
          <w:szCs w:val="22"/>
          <w:lang w:val="bg-BG"/>
        </w:rPr>
        <w:t>- „</w:t>
      </w:r>
      <w:r>
        <w:rPr>
          <w:i/>
          <w:sz w:val="22"/>
          <w:szCs w:val="22"/>
          <w:lang w:val="bg-BG"/>
        </w:rPr>
        <w:t>Европейски  социален модел</w:t>
      </w:r>
      <w:r>
        <w:rPr>
          <w:sz w:val="22"/>
          <w:szCs w:val="22"/>
          <w:lang w:val="bg-BG"/>
        </w:rPr>
        <w:t>” -  е институционална конструкция, основана на  споделени ценности и сходни/съвместими традиции.</w:t>
      </w:r>
    </w:p>
    <w:p>
      <w:pPr>
        <w:pStyle w:val="Normal"/>
        <w:spacing w:lineRule="auto" w:line="360"/>
        <w:jc w:val="both"/>
        <w:rPr>
          <w:sz w:val="22"/>
          <w:szCs w:val="22"/>
          <w:lang w:val="bg-BG"/>
        </w:rPr>
      </w:pPr>
      <w:r>
        <w:rPr>
          <w:sz w:val="22"/>
          <w:szCs w:val="22"/>
          <w:lang w:val="bg-BG"/>
        </w:rPr>
        <w:tab/>
        <w:t>Тези три концепции се преплитат и променят  под влияние на  различни фактори: социални, политически, технологични. Как те се отнасят една към друга, каква е миналата и  предстоящата  им еволюция – това е тематичната насоченост на изложението в лекцията.</w:t>
      </w:r>
    </w:p>
    <w:p>
      <w:pPr>
        <w:pStyle w:val="Normal"/>
        <w:spacing w:lineRule="auto" w:line="360"/>
        <w:jc w:val="both"/>
        <w:rPr>
          <w:sz w:val="22"/>
          <w:szCs w:val="22"/>
          <w:lang w:val="bg-BG"/>
        </w:rPr>
      </w:pPr>
      <w:r>
        <w:rPr>
          <w:sz w:val="22"/>
          <w:szCs w:val="22"/>
          <w:lang w:val="bg-BG"/>
        </w:rPr>
      </w:r>
    </w:p>
    <w:p>
      <w:pPr>
        <w:pStyle w:val="Normal"/>
        <w:spacing w:lineRule="auto" w:line="360"/>
        <w:jc w:val="both"/>
        <w:rPr>
          <w:sz w:val="22"/>
          <w:szCs w:val="22"/>
          <w:lang w:val="bg-BG"/>
        </w:rPr>
      </w:pPr>
      <w:r>
        <w:rPr>
          <w:sz w:val="22"/>
          <w:szCs w:val="22"/>
          <w:lang w:val="bg-BG"/>
        </w:rPr>
      </w:r>
    </w:p>
    <w:p>
      <w:pPr>
        <w:pStyle w:val="Normal"/>
        <w:numPr>
          <w:ilvl w:val="0"/>
          <w:numId w:val="3"/>
        </w:numPr>
        <w:spacing w:lineRule="auto" w:line="360"/>
        <w:jc w:val="both"/>
        <w:rPr>
          <w:b/>
          <w:b/>
          <w:sz w:val="22"/>
          <w:szCs w:val="22"/>
          <w:lang w:val="bg-BG"/>
        </w:rPr>
      </w:pPr>
      <w:r>
        <w:rPr>
          <w:b/>
          <w:sz w:val="22"/>
          <w:szCs w:val="22"/>
          <w:lang w:val="bg-BG"/>
        </w:rPr>
        <w:t>Дефиниране: основни гледни точки</w:t>
      </w:r>
    </w:p>
    <w:p>
      <w:pPr>
        <w:pStyle w:val="Normal"/>
        <w:spacing w:lineRule="auto" w:line="360"/>
        <w:ind w:left="75" w:hanging="0"/>
        <w:jc w:val="both"/>
        <w:rPr>
          <w:sz w:val="22"/>
          <w:szCs w:val="22"/>
          <w:lang w:val="bg-BG"/>
        </w:rPr>
      </w:pPr>
      <w:r>
        <w:rPr>
          <w:sz w:val="22"/>
          <w:szCs w:val="22"/>
          <w:lang w:val="bg-BG"/>
        </w:rPr>
        <w:tab/>
        <w:t>В средата на 20 в.  се създава европейската общност, която извървява  дълъг път на сближаване на националните системи в икономически, политически и социален аспект.  ЕС е уникално международно обединение, което  се прави  по проект, саморазвиващ  се във времето. Промените се въвеждат стъпка по стъпка, след преговори, взаимни отстъпки и  търсене на компромиси. Понякога се налагат и паузи, какъвто е случаят  през 2005-2007 г., когато  европейската конституция беше отхвърлена на  референдумите в Холандия и Франция /впоследствие заменена  от договор  на общността, който също не получи одобрение  на референдум в Ирландия през 2008 г./.</w:t>
      </w:r>
    </w:p>
    <w:p>
      <w:pPr>
        <w:pStyle w:val="Normal"/>
        <w:spacing w:lineRule="auto" w:line="360"/>
        <w:ind w:left="75" w:hanging="0"/>
        <w:jc w:val="both"/>
        <w:rPr>
          <w:sz w:val="22"/>
          <w:szCs w:val="22"/>
          <w:lang w:val="bg-BG"/>
        </w:rPr>
      </w:pPr>
      <w:r>
        <w:rPr>
          <w:sz w:val="22"/>
          <w:szCs w:val="22"/>
          <w:lang w:val="bg-BG"/>
        </w:rPr>
        <w:tab/>
        <w:t xml:space="preserve">Тази последователност, предпазливост и гъвкавост в подхода  към изграждането на  мегаконструкцията на ЕС е характерна най-вече за СП. В икономиката  властно се налага глобализацията на  производството, пазарите и търговията. Геополитическите  процеси  оформят нови  центрове на власт и противоборства в света. Единствено  социалните потребности и услуги остават в  значителна степен  подвластни на националните постижения, образци и стандарти. Така че основателно е да се постави  въпросът: </w:t>
      </w:r>
      <w:r>
        <w:rPr>
          <w:b/>
          <w:sz w:val="22"/>
          <w:szCs w:val="22"/>
          <w:lang w:val="bg-BG"/>
        </w:rPr>
        <w:t>има  ли единен европейски социален модел и какви са неговите  общи принципи и елементи.</w:t>
      </w:r>
    </w:p>
    <w:p>
      <w:pPr>
        <w:pStyle w:val="Normal"/>
        <w:spacing w:lineRule="auto" w:line="360"/>
        <w:ind w:left="75" w:hanging="0"/>
        <w:jc w:val="both"/>
        <w:rPr/>
      </w:pPr>
      <w:r>
        <w:rPr>
          <w:sz w:val="22"/>
          <w:szCs w:val="22"/>
          <w:lang w:val="bg-BG"/>
        </w:rPr>
        <w:tab/>
        <w:t xml:space="preserve">В научните публикации, в най-обобщен вид  се разграничават три концепции, представяни от </w:t>
      </w:r>
      <w:r>
        <w:rPr>
          <w:b/>
          <w:sz w:val="22"/>
          <w:szCs w:val="22"/>
          <w:lang w:val="bg-BG"/>
        </w:rPr>
        <w:t>три групи автори - интегристи, традиционалисти и реформатори.</w:t>
      </w:r>
    </w:p>
    <w:p>
      <w:pPr>
        <w:pStyle w:val="Normal"/>
        <w:spacing w:lineRule="auto" w:line="360"/>
        <w:ind w:left="75" w:hanging="0"/>
        <w:jc w:val="both"/>
        <w:rPr>
          <w:b/>
          <w:b/>
          <w:sz w:val="22"/>
          <w:szCs w:val="22"/>
          <w:lang w:val="bg-BG"/>
        </w:rPr>
      </w:pPr>
      <w:r>
        <w:rPr>
          <w:b/>
          <w:sz w:val="22"/>
          <w:szCs w:val="22"/>
          <w:lang w:val="bg-BG"/>
        </w:rPr>
      </w:r>
    </w:p>
    <w:p>
      <w:pPr>
        <w:pStyle w:val="Normal"/>
        <w:spacing w:lineRule="auto" w:line="360"/>
        <w:ind w:left="75" w:hanging="0"/>
        <w:jc w:val="both"/>
        <w:rPr/>
      </w:pPr>
      <w:r>
        <w:rPr>
          <w:sz w:val="22"/>
          <w:szCs w:val="22"/>
          <w:lang w:val="bg-BG"/>
        </w:rPr>
        <w:tab/>
        <w:t>И</w:t>
      </w:r>
      <w:r>
        <w:rPr>
          <w:b/>
          <w:sz w:val="22"/>
          <w:szCs w:val="22"/>
          <w:lang w:val="bg-BG"/>
        </w:rPr>
        <w:t>нтегристите</w:t>
      </w:r>
      <w:r>
        <w:rPr>
          <w:sz w:val="22"/>
          <w:szCs w:val="22"/>
          <w:lang w:val="bg-BG"/>
        </w:rPr>
        <w:t xml:space="preserve"> /Мел Козинс/ поставят акцент върху интеграционните цели  и прилагат варианти  на структури и управленски механизми за тяхното  постигане. Те издигат стратегия за нарастващата  координация  на  социалните политики на наднационално равнище. Предлагат да се  конструира европейска социална супердържава като еманация на  постигналите своя апогей общества.  Европеизацията се разбира като процес на  </w:t>
      </w:r>
      <w:r>
        <w:rPr>
          <w:b/>
          <w:sz w:val="22"/>
          <w:szCs w:val="22"/>
          <w:lang w:val="bg-BG"/>
        </w:rPr>
        <w:t>конвергенция на националните модели</w:t>
      </w:r>
      <w:r>
        <w:rPr>
          <w:sz w:val="22"/>
          <w:szCs w:val="22"/>
          <w:lang w:val="bg-BG"/>
        </w:rPr>
        <w:t xml:space="preserve"> </w:t>
      </w:r>
      <w:r>
        <w:rPr>
          <w:b/>
          <w:sz w:val="22"/>
          <w:szCs w:val="22"/>
          <w:lang w:val="bg-BG"/>
        </w:rPr>
        <w:t>и претопяването им в европейска мегарамка,</w:t>
      </w:r>
      <w:r>
        <w:rPr>
          <w:sz w:val="22"/>
          <w:szCs w:val="22"/>
          <w:lang w:val="bg-BG"/>
        </w:rPr>
        <w:t xml:space="preserve"> която се налага в държавите-членки на общността чрез методите на  т.нар. мека политика. Пример за това е Лисабонската  стратегия, макар че нейната ефективност се оспорва  категорично от някои  специалисти /А.Сапир/.</w:t>
      </w:r>
    </w:p>
    <w:p>
      <w:pPr>
        <w:pStyle w:val="Normal"/>
        <w:spacing w:lineRule="auto" w:line="360"/>
        <w:ind w:left="75" w:hanging="0"/>
        <w:jc w:val="both"/>
        <w:rPr>
          <w:b/>
          <w:b/>
          <w:sz w:val="22"/>
          <w:szCs w:val="22"/>
          <w:lang w:val="bg-BG"/>
        </w:rPr>
      </w:pPr>
      <w:r>
        <w:rPr>
          <w:b/>
          <w:sz w:val="22"/>
          <w:szCs w:val="22"/>
          <w:lang w:val="bg-BG"/>
        </w:rPr>
        <w:tab/>
      </w:r>
    </w:p>
    <w:p>
      <w:pPr>
        <w:pStyle w:val="Normal"/>
        <w:spacing w:lineRule="auto" w:line="360"/>
        <w:ind w:left="75" w:hanging="0"/>
        <w:jc w:val="both"/>
        <w:rPr/>
      </w:pPr>
      <w:r>
        <w:rPr>
          <w:b/>
          <w:sz w:val="22"/>
          <w:szCs w:val="22"/>
          <w:lang w:val="bg-BG"/>
        </w:rPr>
        <w:tab/>
        <w:t>Традиционалистите</w:t>
      </w:r>
      <w:r>
        <w:rPr>
          <w:sz w:val="22"/>
          <w:szCs w:val="22"/>
          <w:lang w:val="bg-BG"/>
        </w:rPr>
        <w:t xml:space="preserve"> отстояват идеята за диверсификацията на европейските социални модели. Известно е, че Европа е родина на  парадигмата за държавата на благоденствието, и в социално отношение тя е изградена върху няколко  субрегионални модели, водещ от които е скандинавският. В този смисъл наднационалното  социално пространство не се нужд е от  обособена  единна регулация, за разлика например от  финансовите, политическите и военните сектори на общността. </w:t>
      </w:r>
      <w:r>
        <w:rPr>
          <w:b/>
          <w:sz w:val="22"/>
          <w:szCs w:val="22"/>
          <w:lang w:val="bg-BG"/>
        </w:rPr>
        <w:t>„Сближение – да, но  претопяване  в общ европейски котел – не!</w:t>
      </w:r>
      <w:r>
        <w:rPr>
          <w:sz w:val="22"/>
          <w:szCs w:val="22"/>
          <w:lang w:val="bg-BG"/>
        </w:rPr>
        <w:t xml:space="preserve"> Вместо единен социален модел – констелация  от традиционно закрепени  модели” – такава е философията на  традиционалистите. „ЕС препоръчва – държавите решават” - такова е  управленското правило, което според тях движи промените в социалната сфера.</w:t>
      </w:r>
    </w:p>
    <w:p>
      <w:pPr>
        <w:pStyle w:val="Normal"/>
        <w:spacing w:lineRule="auto" w:line="360"/>
        <w:ind w:left="75" w:hanging="0"/>
        <w:jc w:val="both"/>
        <w:rPr>
          <w:sz w:val="22"/>
          <w:szCs w:val="22"/>
          <w:lang w:val="bg-BG"/>
        </w:rPr>
      </w:pPr>
      <w:r>
        <w:rPr>
          <w:sz w:val="22"/>
          <w:szCs w:val="22"/>
          <w:lang w:val="bg-BG"/>
        </w:rPr>
        <w:t xml:space="preserve"> </w:t>
      </w:r>
    </w:p>
    <w:p>
      <w:pPr>
        <w:pStyle w:val="Normal"/>
        <w:spacing w:lineRule="auto" w:line="360"/>
        <w:ind w:left="75" w:hanging="0"/>
        <w:jc w:val="both"/>
        <w:rPr/>
      </w:pPr>
      <w:r>
        <w:rPr>
          <w:b/>
          <w:sz w:val="22"/>
          <w:szCs w:val="22"/>
          <w:lang w:val="bg-BG"/>
        </w:rPr>
        <w:tab/>
        <w:t>Реформаторите</w:t>
      </w:r>
      <w:r>
        <w:rPr>
          <w:sz w:val="22"/>
          <w:szCs w:val="22"/>
          <w:lang w:val="bg-BG"/>
        </w:rPr>
        <w:t>, най-чест</w:t>
      </w:r>
      <w:r>
        <w:rPr>
          <w:sz w:val="22"/>
          <w:szCs w:val="22"/>
          <w:lang w:val="ru-RU"/>
        </w:rPr>
        <w:t>о това са</w:t>
      </w:r>
      <w:r>
        <w:rPr>
          <w:sz w:val="22"/>
          <w:szCs w:val="22"/>
          <w:lang w:val="bg-BG"/>
        </w:rPr>
        <w:t xml:space="preserve"> специалисти от финансово-икономическите среди и неконсервативните политически кръгове, които смятат, че след втората половина на 70-те г. на 20 в.  ЕС намалява икономическата си динамика и губи конкурентен потенциал поради тежестта на  социалните  ангажименти, залегнали в единния модел. Нещо повече, смята се че самата концепция за универсален модел е нерелевантна на  икономическата логика. Анализът на различни групи  европейски страни показват, че те се различават  съществено от гл.т. на </w:t>
      </w:r>
      <w:r>
        <w:rPr>
          <w:b/>
          <w:sz w:val="22"/>
          <w:szCs w:val="22"/>
          <w:lang w:val="bg-BG"/>
        </w:rPr>
        <w:t xml:space="preserve">а/ ефективността; б/ равенството </w:t>
      </w:r>
      <w:r>
        <w:rPr>
          <w:sz w:val="22"/>
          <w:szCs w:val="22"/>
          <w:lang w:val="bg-BG"/>
        </w:rPr>
        <w:t>– като общи цели на държавата на благоденствието. Двете цели се реализират успешно единствено в Северна Европа, докато Средиземноморските страни са с неефективно и неустойчиво развитие /А.Сапир/. Изводът на Сапир е: южният вариант на модела е изправен пред предизвикателството да се реформира, или да бъде отхвърлен от живота.</w:t>
      </w:r>
    </w:p>
    <w:p>
      <w:pPr>
        <w:pStyle w:val="Normal"/>
        <w:spacing w:lineRule="auto" w:line="360"/>
        <w:ind w:left="75" w:hanging="0"/>
        <w:jc w:val="both"/>
        <w:rPr>
          <w:sz w:val="22"/>
          <w:szCs w:val="22"/>
          <w:lang w:val="bg-BG"/>
        </w:rPr>
      </w:pPr>
      <w:r>
        <w:rPr>
          <w:sz w:val="22"/>
          <w:szCs w:val="22"/>
          <w:lang w:val="bg-BG"/>
        </w:rPr>
      </w:r>
    </w:p>
    <w:p>
      <w:pPr>
        <w:pStyle w:val="Normal"/>
        <w:spacing w:lineRule="auto" w:line="360"/>
        <w:ind w:left="75" w:hanging="0"/>
        <w:jc w:val="both"/>
        <w:rPr/>
      </w:pPr>
      <w:r>
        <w:rPr>
          <w:sz w:val="22"/>
          <w:szCs w:val="22"/>
          <w:lang w:val="bg-BG"/>
        </w:rPr>
        <w:t xml:space="preserve"> </w:t>
      </w:r>
      <w:r>
        <w:rPr>
          <w:sz w:val="22"/>
          <w:szCs w:val="22"/>
          <w:lang w:val="bg-BG"/>
        </w:rPr>
        <w:tab/>
        <w:t xml:space="preserve">Внимателният анализ на трите концепции, законодателствата и практиките на националните държави налагат доста по-различни </w:t>
      </w:r>
      <w:r>
        <w:rPr>
          <w:b/>
          <w:sz w:val="22"/>
          <w:szCs w:val="22"/>
          <w:lang w:val="bg-BG"/>
        </w:rPr>
        <w:t>изводи</w:t>
      </w:r>
      <w:r>
        <w:rPr>
          <w:sz w:val="22"/>
          <w:szCs w:val="22"/>
          <w:lang w:val="bg-BG"/>
        </w:rPr>
        <w:t>: а/ за туширане на  „излишните” и самоцелни национални различия;</w:t>
      </w:r>
    </w:p>
    <w:p>
      <w:pPr>
        <w:pStyle w:val="Normal"/>
        <w:spacing w:lineRule="auto" w:line="360"/>
        <w:ind w:left="75" w:hanging="0"/>
        <w:jc w:val="both"/>
        <w:rPr>
          <w:sz w:val="22"/>
          <w:szCs w:val="22"/>
          <w:lang w:val="bg-BG"/>
        </w:rPr>
      </w:pPr>
      <w:r>
        <w:rPr>
          <w:sz w:val="22"/>
          <w:szCs w:val="22"/>
          <w:lang w:val="bg-BG"/>
        </w:rPr>
        <w:t xml:space="preserve"> </w:t>
      </w:r>
      <w:r>
        <w:rPr>
          <w:sz w:val="22"/>
          <w:szCs w:val="22"/>
          <w:lang w:val="bg-BG"/>
        </w:rPr>
        <w:t xml:space="preserve">б/ за преодоляване на „изкуствения” ляво-десен спор. </w:t>
      </w:r>
    </w:p>
    <w:p>
      <w:pPr>
        <w:pStyle w:val="Normal"/>
        <w:spacing w:lineRule="auto" w:line="360"/>
        <w:ind w:left="75" w:hanging="0"/>
        <w:jc w:val="both"/>
        <w:rPr/>
      </w:pPr>
      <w:r>
        <w:rPr>
          <w:b/>
          <w:sz w:val="22"/>
          <w:szCs w:val="22"/>
          <w:lang w:val="bg-BG"/>
        </w:rPr>
        <w:t>Робърт Гейер</w:t>
      </w:r>
      <w:r>
        <w:rPr>
          <w:sz w:val="22"/>
          <w:szCs w:val="22"/>
          <w:lang w:val="bg-BG"/>
        </w:rPr>
        <w:t xml:space="preserve"> в „Изследване на Европейската СП” /2000/ прави задълбочен анализ на този спор. На пракитка ЕС върви към балансирано, постъпателно сближение на наследените практики и субрегионалните  модификации в управлението на социалните процеси. Основанията  за този  еволюционен/интеграционен подход са няколко. 1. всяка от  водещите  европейски страни  е с развита  социална пазарна икономика. Това значи, че по  дефиниция пазарните отношения подлежат на  координиране и регулация – особено  що се отнася  до сектора на  социалинте услуги. 2. Всяка европейска нация споделя сходни, принципно съвместими ценности, които лягат в основата на националните и  улесняват общите/ координираните  социални решения /Barr/. Редуването на  правителствата /което значи на партиите и идеологиите/ не променя кардинално публичните ангажименти към потребителите на  социални услуги. 3. Социалните права на работниците и гражданите, независимо от национланата им принадлежност, се признават във всяка страна на общността. </w:t>
      </w:r>
      <w:r>
        <w:rPr>
          <w:b/>
          <w:sz w:val="22"/>
          <w:szCs w:val="22"/>
          <w:lang w:val="bg-BG"/>
        </w:rPr>
        <w:t>Всичко това създава единно европейско поле за развитие на  социалните отношения и подобряване на  жизнения стандарт на нациите.</w:t>
      </w:r>
    </w:p>
    <w:p>
      <w:pPr>
        <w:pStyle w:val="Normal"/>
        <w:spacing w:lineRule="auto" w:line="360"/>
        <w:ind w:left="75" w:hanging="0"/>
        <w:jc w:val="both"/>
        <w:rPr>
          <w:b/>
          <w:b/>
          <w:sz w:val="22"/>
          <w:szCs w:val="22"/>
          <w:lang w:val="bg-BG"/>
        </w:rPr>
      </w:pPr>
      <w:r>
        <w:rPr>
          <w:b/>
          <w:sz w:val="22"/>
          <w:szCs w:val="22"/>
          <w:lang w:val="bg-BG"/>
        </w:rPr>
      </w:r>
    </w:p>
    <w:p>
      <w:pPr>
        <w:pStyle w:val="Normal"/>
        <w:spacing w:lineRule="auto" w:line="360"/>
        <w:ind w:left="75" w:hanging="0"/>
        <w:jc w:val="both"/>
        <w:rPr>
          <w:b/>
          <w:b/>
          <w:sz w:val="22"/>
          <w:szCs w:val="22"/>
          <w:lang w:val="ru-RU"/>
        </w:rPr>
      </w:pPr>
      <w:r>
        <w:rPr>
          <w:b/>
          <w:sz w:val="22"/>
          <w:szCs w:val="22"/>
          <w:lang w:val="bg-BG"/>
        </w:rPr>
        <w:t xml:space="preserve"> </w:t>
      </w:r>
      <w:r>
        <w:rPr>
          <w:b/>
          <w:sz w:val="22"/>
          <w:szCs w:val="22"/>
          <w:lang w:val="bg-BG"/>
        </w:rPr>
        <w:t>2. Базисни елементи на ЕСМ</w:t>
      </w:r>
    </w:p>
    <w:p>
      <w:pPr>
        <w:pStyle w:val="Normal"/>
        <w:spacing w:lineRule="auto" w:line="360"/>
        <w:ind w:firstLine="360"/>
        <w:jc w:val="both"/>
        <w:rPr>
          <w:b/>
          <w:b/>
          <w:sz w:val="22"/>
          <w:szCs w:val="22"/>
          <w:lang w:val="bg-BG"/>
        </w:rPr>
      </w:pPr>
      <w:r>
        <w:rPr>
          <w:b/>
          <w:sz w:val="22"/>
          <w:szCs w:val="22"/>
          <w:lang w:val="bg-BG"/>
        </w:rPr>
      </w:r>
    </w:p>
    <w:p>
      <w:pPr>
        <w:pStyle w:val="Normal"/>
        <w:spacing w:lineRule="auto" w:line="360"/>
        <w:ind w:firstLine="360"/>
        <w:jc w:val="both"/>
        <w:rPr/>
      </w:pPr>
      <w:r>
        <w:rPr>
          <w:sz w:val="22"/>
          <w:szCs w:val="22"/>
          <w:lang w:val="bg-BG"/>
        </w:rPr>
        <w:t xml:space="preserve">Както стана ясно, обща рамка /констелация, или най-малкото  координирани национални практики има. </w:t>
      </w:r>
      <w:r>
        <w:rPr>
          <w:b/>
          <w:sz w:val="22"/>
          <w:szCs w:val="22"/>
          <w:lang w:val="bg-BG"/>
        </w:rPr>
        <w:t>Жак Делор</w:t>
      </w:r>
      <w:r>
        <w:rPr>
          <w:sz w:val="22"/>
          <w:szCs w:val="22"/>
          <w:lang w:val="bg-BG"/>
        </w:rPr>
        <w:t xml:space="preserve">, духовен баща  и теоретик на  Социална Европа, формулира </w:t>
      </w:r>
      <w:r>
        <w:rPr>
          <w:b/>
          <w:sz w:val="22"/>
          <w:szCs w:val="22"/>
          <w:lang w:val="bg-BG"/>
        </w:rPr>
        <w:t>три основни ценности на модела:</w:t>
      </w:r>
      <w:r>
        <w:rPr>
          <w:sz w:val="22"/>
          <w:szCs w:val="22"/>
          <w:lang w:val="bg-BG"/>
        </w:rPr>
        <w:t xml:space="preserve"> </w:t>
      </w:r>
      <w:r>
        <w:rPr>
          <w:b/>
          <w:i/>
          <w:sz w:val="22"/>
          <w:szCs w:val="22"/>
          <w:lang w:val="bg-BG"/>
        </w:rPr>
        <w:t>икономическа конкуренция; социална кохезия и солидарност и  отговорност</w:t>
      </w:r>
      <w:r>
        <w:rPr>
          <w:sz w:val="22"/>
          <w:szCs w:val="22"/>
          <w:lang w:val="bg-BG"/>
        </w:rPr>
        <w:t xml:space="preserve"> /т.е. включване на всички  засегнати  групи  и институции/.  </w:t>
        <w:tab/>
        <w:t xml:space="preserve">Има съгласувана  европейска концепция за общо валиден социален модел, чиято </w:t>
      </w:r>
      <w:r>
        <w:rPr>
          <w:b/>
          <w:sz w:val="22"/>
          <w:szCs w:val="22"/>
          <w:lang w:val="bg-BG"/>
        </w:rPr>
        <w:t>най-важна  черта са споделените ценности</w:t>
      </w:r>
      <w:r>
        <w:rPr>
          <w:sz w:val="22"/>
          <w:szCs w:val="22"/>
          <w:lang w:val="bg-BG"/>
        </w:rPr>
        <w:t xml:space="preserve">. Различията в националните практики се зачитат, но те варират в зоната на общоприетите минимални стандарти за социална защита. Не подлежи на оспорване и принципа  на </w:t>
      </w:r>
      <w:r>
        <w:rPr>
          <w:b/>
          <w:sz w:val="22"/>
          <w:szCs w:val="22"/>
          <w:lang w:val="bg-BG"/>
        </w:rPr>
        <w:t>социалния диалог</w:t>
      </w:r>
      <w:r>
        <w:rPr>
          <w:sz w:val="22"/>
          <w:szCs w:val="22"/>
          <w:lang w:val="bg-BG"/>
        </w:rPr>
        <w:t>, който насърчава включването на  представителите на  организираните/групови/ интереси в процеса на  вземане на решения на национално равнище и в рамките на съююза.</w:t>
      </w:r>
    </w:p>
    <w:p>
      <w:pPr>
        <w:pStyle w:val="Normal"/>
        <w:spacing w:lineRule="auto" w:line="360"/>
        <w:ind w:firstLine="360"/>
        <w:jc w:val="both"/>
        <w:rPr>
          <w:sz w:val="22"/>
          <w:szCs w:val="22"/>
          <w:lang w:val="bg-BG"/>
        </w:rPr>
      </w:pPr>
      <w:r>
        <w:rPr>
          <w:sz w:val="22"/>
          <w:szCs w:val="22"/>
          <w:lang w:val="bg-BG"/>
        </w:rPr>
        <w:t>Очертаните от  Жак Делор три базисни  ценности може да се приемат  като  стеснена интерпретация на европейската социална система. Те очертават контурите на един социално ориентиран, наднационален  модел, макар той да не се третира като задължителен социетален образец в общността.  Това уточнение е уместно, защото целта на  видния френски политик и теоретик е била друга: да се предпази от нереалистична, неработеща в близко  бъдеще, детайлна визия за принципите  и моралните устои на общността. Както посочва Д.Воган-Уайтхед има потребности и услуги, като  образование, здравеопазване или транспорт, които са все още под контрола на  националните държави – за разлика например от мащабната приватизация на тези дейности в англосаксонската зона.</w:t>
      </w:r>
    </w:p>
    <w:p>
      <w:pPr>
        <w:pStyle w:val="Normal"/>
        <w:spacing w:lineRule="auto" w:line="360"/>
        <w:ind w:firstLine="360"/>
        <w:jc w:val="both"/>
        <w:rPr/>
      </w:pPr>
      <w:r>
        <w:rPr>
          <w:sz w:val="22"/>
          <w:szCs w:val="22"/>
          <w:lang w:val="bg-BG"/>
        </w:rPr>
        <w:t xml:space="preserve">Ако </w:t>
      </w:r>
      <w:r>
        <w:rPr>
          <w:b/>
          <w:sz w:val="22"/>
          <w:szCs w:val="22"/>
          <w:lang w:val="bg-BG"/>
        </w:rPr>
        <w:t>споделените ценности са  фундамента на европейския социален модел, то неговите съставки /компоненти/ образуват работещата конструкция</w:t>
      </w:r>
      <w:r>
        <w:rPr>
          <w:sz w:val="22"/>
          <w:szCs w:val="22"/>
          <w:lang w:val="bg-BG"/>
        </w:rPr>
        <w:t>.</w:t>
      </w:r>
    </w:p>
    <w:p>
      <w:pPr>
        <w:pStyle w:val="Normal"/>
        <w:spacing w:lineRule="auto" w:line="360"/>
        <w:ind w:firstLine="360"/>
        <w:jc w:val="both"/>
        <w:rPr/>
      </w:pPr>
      <w:r>
        <w:rPr>
          <w:b/>
          <w:sz w:val="22"/>
          <w:szCs w:val="22"/>
          <w:lang w:val="bg-BG"/>
        </w:rPr>
        <w:t>Схемата на елементите</w:t>
      </w:r>
      <w:r>
        <w:rPr>
          <w:sz w:val="22"/>
          <w:szCs w:val="22"/>
          <w:lang w:val="bg-BG"/>
        </w:rPr>
        <w:t xml:space="preserve"> на  ЕСМ, представена от  Д.Воган-Уайтхед представя  достатъчно пълно и непротиворечиво съвкупноста от елементи на ЕСМ:</w:t>
      </w:r>
    </w:p>
    <w:p>
      <w:pPr>
        <w:pStyle w:val="Normal"/>
        <w:numPr>
          <w:ilvl w:val="0"/>
          <w:numId w:val="7"/>
        </w:numPr>
        <w:spacing w:lineRule="auto" w:line="360"/>
        <w:jc w:val="both"/>
        <w:rPr>
          <w:sz w:val="22"/>
          <w:szCs w:val="22"/>
          <w:lang w:val="bg-BG"/>
        </w:rPr>
      </w:pPr>
      <w:r>
        <w:rPr>
          <w:sz w:val="22"/>
          <w:szCs w:val="22"/>
          <w:lang w:val="bg-BG"/>
        </w:rPr>
        <w:t>Трудов закон  за работническите права</w:t>
      </w:r>
    </w:p>
    <w:p>
      <w:pPr>
        <w:pStyle w:val="Normal"/>
        <w:numPr>
          <w:ilvl w:val="0"/>
          <w:numId w:val="7"/>
        </w:numPr>
        <w:spacing w:lineRule="auto" w:line="360"/>
        <w:jc w:val="both"/>
        <w:rPr>
          <w:sz w:val="22"/>
          <w:szCs w:val="22"/>
          <w:lang w:val="bg-BG"/>
        </w:rPr>
      </w:pPr>
      <w:r>
        <w:rPr>
          <w:sz w:val="22"/>
          <w:szCs w:val="22"/>
          <w:lang w:val="bg-BG"/>
        </w:rPr>
        <w:t>Заетост</w:t>
        <w:tab/>
      </w:r>
    </w:p>
    <w:p>
      <w:pPr>
        <w:pStyle w:val="Normal"/>
        <w:numPr>
          <w:ilvl w:val="0"/>
          <w:numId w:val="7"/>
        </w:numPr>
        <w:spacing w:lineRule="auto" w:line="360"/>
        <w:jc w:val="both"/>
        <w:rPr>
          <w:sz w:val="22"/>
          <w:szCs w:val="22"/>
          <w:lang w:val="bg-BG"/>
        </w:rPr>
      </w:pPr>
      <w:r>
        <w:rPr>
          <w:sz w:val="22"/>
          <w:szCs w:val="22"/>
          <w:lang w:val="bg-BG"/>
        </w:rPr>
        <w:t>Равни шансове</w:t>
      </w:r>
    </w:p>
    <w:p>
      <w:pPr>
        <w:pStyle w:val="Normal"/>
        <w:numPr>
          <w:ilvl w:val="0"/>
          <w:numId w:val="7"/>
        </w:numPr>
        <w:spacing w:lineRule="auto" w:line="360"/>
        <w:jc w:val="both"/>
        <w:rPr>
          <w:sz w:val="22"/>
          <w:szCs w:val="22"/>
          <w:lang w:val="bg-BG"/>
        </w:rPr>
      </w:pPr>
      <w:r>
        <w:rPr>
          <w:sz w:val="22"/>
          <w:szCs w:val="22"/>
          <w:lang w:val="bg-BG"/>
        </w:rPr>
        <w:t>Антидискриминация</w:t>
      </w:r>
    </w:p>
    <w:p>
      <w:pPr>
        <w:pStyle w:val="Normal"/>
        <w:numPr>
          <w:ilvl w:val="0"/>
          <w:numId w:val="7"/>
        </w:numPr>
        <w:spacing w:lineRule="auto" w:line="360"/>
        <w:jc w:val="both"/>
        <w:rPr>
          <w:sz w:val="22"/>
          <w:szCs w:val="22"/>
          <w:lang w:val="bg-BG"/>
        </w:rPr>
      </w:pPr>
      <w:r>
        <w:rPr>
          <w:sz w:val="22"/>
          <w:szCs w:val="22"/>
          <w:lang w:val="bg-BG"/>
        </w:rPr>
        <w:t>Работническо участие, информация и консултация</w:t>
      </w:r>
    </w:p>
    <w:p>
      <w:pPr>
        <w:pStyle w:val="Normal"/>
        <w:numPr>
          <w:ilvl w:val="0"/>
          <w:numId w:val="7"/>
        </w:numPr>
        <w:spacing w:lineRule="auto" w:line="360"/>
        <w:jc w:val="both"/>
        <w:rPr>
          <w:sz w:val="22"/>
          <w:szCs w:val="22"/>
          <w:lang w:val="bg-BG"/>
        </w:rPr>
      </w:pPr>
      <w:r>
        <w:rPr>
          <w:sz w:val="22"/>
          <w:szCs w:val="22"/>
          <w:lang w:val="bg-BG"/>
        </w:rPr>
        <w:t>Признаваен и включване на социалните партньори</w:t>
      </w:r>
    </w:p>
    <w:p>
      <w:pPr>
        <w:pStyle w:val="Normal"/>
        <w:numPr>
          <w:ilvl w:val="0"/>
          <w:numId w:val="7"/>
        </w:numPr>
        <w:spacing w:lineRule="auto" w:line="360"/>
        <w:jc w:val="both"/>
        <w:rPr>
          <w:sz w:val="22"/>
          <w:szCs w:val="22"/>
          <w:lang w:val="bg-BG"/>
        </w:rPr>
      </w:pPr>
      <w:r>
        <w:rPr>
          <w:sz w:val="22"/>
          <w:szCs w:val="22"/>
          <w:lang w:val="bg-BG"/>
        </w:rPr>
        <w:t>Социален диалог и колективно договаряне</w:t>
      </w:r>
    </w:p>
    <w:p>
      <w:pPr>
        <w:pStyle w:val="Normal"/>
        <w:numPr>
          <w:ilvl w:val="0"/>
          <w:numId w:val="7"/>
        </w:numPr>
        <w:spacing w:lineRule="auto" w:line="360"/>
        <w:jc w:val="both"/>
        <w:rPr>
          <w:sz w:val="22"/>
          <w:szCs w:val="22"/>
          <w:lang w:val="bg-BG"/>
        </w:rPr>
      </w:pPr>
      <w:r>
        <w:rPr>
          <w:sz w:val="22"/>
          <w:szCs w:val="22"/>
          <w:lang w:val="bg-BG"/>
        </w:rPr>
        <w:t>Включванена гражданското  общество</w:t>
      </w:r>
    </w:p>
    <w:p>
      <w:pPr>
        <w:pStyle w:val="Normal"/>
        <w:numPr>
          <w:ilvl w:val="0"/>
          <w:numId w:val="7"/>
        </w:numPr>
        <w:spacing w:lineRule="auto" w:line="360"/>
        <w:jc w:val="both"/>
        <w:rPr>
          <w:sz w:val="22"/>
          <w:szCs w:val="22"/>
          <w:lang w:val="bg-BG"/>
        </w:rPr>
      </w:pPr>
      <w:r>
        <w:rPr>
          <w:sz w:val="22"/>
          <w:szCs w:val="22"/>
          <w:lang w:val="bg-BG"/>
        </w:rPr>
        <w:t>Публичин услуги и услуги от общ интерес</w:t>
      </w:r>
    </w:p>
    <w:p>
      <w:pPr>
        <w:pStyle w:val="Normal"/>
        <w:numPr>
          <w:ilvl w:val="0"/>
          <w:numId w:val="7"/>
        </w:numPr>
        <w:spacing w:lineRule="auto" w:line="360"/>
        <w:jc w:val="both"/>
        <w:rPr>
          <w:sz w:val="22"/>
          <w:szCs w:val="22"/>
          <w:lang w:val="bg-BG"/>
        </w:rPr>
      </w:pPr>
      <w:r>
        <w:rPr>
          <w:sz w:val="22"/>
          <w:szCs w:val="22"/>
          <w:lang w:val="bg-BG"/>
        </w:rPr>
        <w:t xml:space="preserve"> </w:t>
      </w:r>
      <w:r>
        <w:rPr>
          <w:sz w:val="22"/>
          <w:szCs w:val="22"/>
          <w:lang w:val="bg-BG"/>
        </w:rPr>
        <w:t>Достойни или „честни” заплати</w:t>
      </w:r>
    </w:p>
    <w:p>
      <w:pPr>
        <w:pStyle w:val="Normal"/>
        <w:numPr>
          <w:ilvl w:val="0"/>
          <w:numId w:val="7"/>
        </w:numPr>
        <w:spacing w:lineRule="auto" w:line="360"/>
        <w:jc w:val="both"/>
        <w:rPr>
          <w:sz w:val="22"/>
          <w:szCs w:val="22"/>
          <w:lang w:val="bg-BG"/>
        </w:rPr>
      </w:pPr>
      <w:r>
        <w:rPr>
          <w:sz w:val="22"/>
          <w:szCs w:val="22"/>
          <w:lang w:val="bg-BG"/>
        </w:rPr>
        <w:t xml:space="preserve"> </w:t>
      </w:r>
      <w:r>
        <w:rPr>
          <w:sz w:val="22"/>
          <w:szCs w:val="22"/>
          <w:lang w:val="bg-BG"/>
        </w:rPr>
        <w:t>Социална защита</w:t>
      </w:r>
    </w:p>
    <w:p>
      <w:pPr>
        <w:pStyle w:val="Normal"/>
        <w:numPr>
          <w:ilvl w:val="0"/>
          <w:numId w:val="7"/>
        </w:numPr>
        <w:spacing w:lineRule="auto" w:line="360"/>
        <w:jc w:val="both"/>
        <w:rPr>
          <w:sz w:val="22"/>
          <w:szCs w:val="22"/>
          <w:lang w:val="bg-BG"/>
        </w:rPr>
      </w:pPr>
      <w:r>
        <w:rPr>
          <w:sz w:val="22"/>
          <w:szCs w:val="22"/>
          <w:lang w:val="bg-BG"/>
        </w:rPr>
        <w:t xml:space="preserve"> </w:t>
      </w:r>
      <w:r>
        <w:rPr>
          <w:sz w:val="22"/>
          <w:szCs w:val="22"/>
          <w:lang w:val="bg-BG"/>
        </w:rPr>
        <w:t>Социално включване</w:t>
      </w:r>
    </w:p>
    <w:p>
      <w:pPr>
        <w:pStyle w:val="Normal"/>
        <w:numPr>
          <w:ilvl w:val="0"/>
          <w:numId w:val="7"/>
        </w:numPr>
        <w:spacing w:lineRule="auto" w:line="360"/>
        <w:jc w:val="both"/>
        <w:rPr>
          <w:sz w:val="22"/>
          <w:szCs w:val="22"/>
          <w:lang w:val="bg-BG"/>
        </w:rPr>
      </w:pPr>
      <w:r>
        <w:rPr>
          <w:sz w:val="22"/>
          <w:szCs w:val="22"/>
          <w:lang w:val="bg-BG"/>
        </w:rPr>
        <w:t xml:space="preserve"> </w:t>
      </w:r>
      <w:r>
        <w:rPr>
          <w:sz w:val="22"/>
          <w:szCs w:val="22"/>
          <w:lang w:val="bg-BG"/>
        </w:rPr>
        <w:t>Фундаментални работнически и социални права на работници и граждани</w:t>
      </w:r>
    </w:p>
    <w:p>
      <w:pPr>
        <w:pStyle w:val="Normal"/>
        <w:numPr>
          <w:ilvl w:val="0"/>
          <w:numId w:val="7"/>
        </w:numPr>
        <w:spacing w:lineRule="auto" w:line="360"/>
        <w:jc w:val="both"/>
        <w:rPr>
          <w:sz w:val="22"/>
          <w:szCs w:val="22"/>
          <w:lang w:val="bg-BG"/>
        </w:rPr>
      </w:pPr>
      <w:r>
        <w:rPr>
          <w:sz w:val="22"/>
          <w:szCs w:val="22"/>
          <w:lang w:val="bg-BG"/>
        </w:rPr>
        <w:t xml:space="preserve"> </w:t>
      </w:r>
      <w:r>
        <w:rPr>
          <w:sz w:val="22"/>
          <w:szCs w:val="22"/>
          <w:lang w:val="bg-BG"/>
        </w:rPr>
        <w:t>Регионална кохезия</w:t>
      </w:r>
    </w:p>
    <w:p>
      <w:pPr>
        <w:pStyle w:val="Normal"/>
        <w:numPr>
          <w:ilvl w:val="0"/>
          <w:numId w:val="7"/>
        </w:numPr>
        <w:spacing w:lineRule="auto" w:line="360"/>
        <w:jc w:val="both"/>
        <w:rPr>
          <w:sz w:val="22"/>
          <w:szCs w:val="22"/>
          <w:lang w:val="bg-BG"/>
        </w:rPr>
      </w:pPr>
      <w:r>
        <w:rPr>
          <w:sz w:val="22"/>
          <w:szCs w:val="22"/>
          <w:lang w:val="bg-BG"/>
        </w:rPr>
        <w:t xml:space="preserve"> </w:t>
      </w:r>
      <w:r>
        <w:rPr>
          <w:sz w:val="22"/>
          <w:szCs w:val="22"/>
          <w:lang w:val="bg-BG"/>
        </w:rPr>
        <w:t>Транснационална  СП и инструменти.</w:t>
      </w:r>
    </w:p>
    <w:p>
      <w:pPr>
        <w:pStyle w:val="Normal"/>
        <w:spacing w:lineRule="auto" w:line="360"/>
        <w:jc w:val="both"/>
        <w:rPr/>
      </w:pPr>
      <w:r>
        <w:rPr>
          <w:sz w:val="22"/>
          <w:szCs w:val="22"/>
          <w:lang w:val="bg-BG"/>
        </w:rPr>
        <w:tab/>
      </w:r>
      <w:r>
        <w:rPr>
          <w:b/>
          <w:sz w:val="22"/>
          <w:szCs w:val="22"/>
          <w:lang w:val="bg-BG"/>
        </w:rPr>
        <w:t>От включените  елементи става ясно, че ЕСМ е с широк обхват на  нормативно покритие и включва всички значими социални групи</w:t>
      </w:r>
      <w:r>
        <w:rPr>
          <w:sz w:val="22"/>
          <w:szCs w:val="22"/>
          <w:lang w:val="bg-BG"/>
        </w:rPr>
        <w:t xml:space="preserve">. В неговото приложно поле влизат: политики в сферата на труда и заетостта; индустриални отношения, регулирани чрез  социален диалог; публични услуги; социална защита и социално включване; равни шансове и антидискриминационни практики; регионална кохезия; транснационални отношения. Обект на координирана СП са както работниците и служителите, така и гражданите като цяло. Групата на социално уязвимите хора заема централон място в съгласувания европейски нормативен пакет. Всичко това превръща </w:t>
      </w:r>
      <w:r>
        <w:rPr>
          <w:b/>
          <w:sz w:val="22"/>
          <w:szCs w:val="22"/>
          <w:lang w:val="bg-BG"/>
        </w:rPr>
        <w:t>съвременна Европа в общност от нов тип: опираща се  на кохезията и интеграцията, включваща своите граждани в съвкупен социален кръгооборот.</w:t>
      </w:r>
    </w:p>
    <w:p>
      <w:pPr>
        <w:pStyle w:val="Normal"/>
        <w:spacing w:lineRule="auto" w:line="360"/>
        <w:jc w:val="both"/>
        <w:rPr>
          <w:b/>
          <w:b/>
          <w:sz w:val="22"/>
          <w:szCs w:val="22"/>
          <w:lang w:val="bg-BG"/>
        </w:rPr>
      </w:pPr>
      <w:r>
        <w:rPr>
          <w:b/>
          <w:sz w:val="22"/>
          <w:szCs w:val="22"/>
          <w:lang w:val="bg-BG"/>
        </w:rPr>
      </w:r>
    </w:p>
    <w:p>
      <w:pPr>
        <w:pStyle w:val="Normal"/>
        <w:numPr>
          <w:ilvl w:val="0"/>
          <w:numId w:val="6"/>
        </w:numPr>
        <w:spacing w:lineRule="auto" w:line="360"/>
        <w:jc w:val="both"/>
        <w:rPr>
          <w:b/>
          <w:b/>
          <w:sz w:val="22"/>
          <w:szCs w:val="22"/>
          <w:lang w:val="bg-BG"/>
        </w:rPr>
      </w:pPr>
      <w:r>
        <w:rPr>
          <w:b/>
          <w:sz w:val="22"/>
          <w:szCs w:val="22"/>
          <w:lang w:val="bg-BG"/>
        </w:rPr>
        <w:t>Генезис и разгръщане на модела</w:t>
      </w:r>
    </w:p>
    <w:p>
      <w:pPr>
        <w:pStyle w:val="Normal"/>
        <w:spacing w:lineRule="auto" w:line="360"/>
        <w:ind w:left="75" w:hanging="0"/>
        <w:jc w:val="both"/>
        <w:rPr>
          <w:sz w:val="22"/>
          <w:szCs w:val="22"/>
          <w:lang w:val="bg-BG"/>
        </w:rPr>
      </w:pPr>
      <w:r>
        <w:rPr>
          <w:sz w:val="22"/>
          <w:szCs w:val="22"/>
          <w:lang w:val="bg-BG"/>
        </w:rPr>
        <w:tab/>
        <w:t>От зараждането  на европейския проект до днес са минали малко повече от 50 г. През този период регионалната общност, нейните национални и общи структури превръщат няколко  начални обединителни принципи на  европейската СП в пълнокръвна  работеща система. Промяната става на  няколко етапа, чиито времеви граници се определят както от напредъка на материалното  благосъстояние, така и от взаимното проникване и обогатяване на националните  социални практики.</w:t>
      </w:r>
    </w:p>
    <w:p>
      <w:pPr>
        <w:pStyle w:val="Normal"/>
        <w:spacing w:lineRule="auto" w:line="360"/>
        <w:ind w:left="75" w:hanging="0"/>
        <w:jc w:val="both"/>
        <w:rPr/>
      </w:pPr>
      <w:r>
        <w:rPr>
          <w:sz w:val="22"/>
          <w:szCs w:val="22"/>
          <w:lang w:val="bg-BG"/>
        </w:rPr>
        <w:tab/>
        <w:t xml:space="preserve">Според Д.Воган-Уайтхед развитието на ЕСМ преминава през </w:t>
      </w:r>
      <w:r>
        <w:rPr>
          <w:b/>
          <w:sz w:val="22"/>
          <w:szCs w:val="22"/>
          <w:lang w:val="bg-BG"/>
        </w:rPr>
        <w:t>4 периода:</w:t>
      </w:r>
    </w:p>
    <w:p>
      <w:pPr>
        <w:pStyle w:val="Normal"/>
        <w:numPr>
          <w:ilvl w:val="0"/>
          <w:numId w:val="8"/>
        </w:numPr>
        <w:spacing w:lineRule="auto" w:line="360"/>
        <w:jc w:val="both"/>
        <w:rPr>
          <w:sz w:val="22"/>
          <w:szCs w:val="22"/>
          <w:lang w:val="bg-BG"/>
        </w:rPr>
      </w:pPr>
      <w:r>
        <w:rPr>
          <w:sz w:val="22"/>
          <w:szCs w:val="22"/>
          <w:lang w:val="bg-BG"/>
        </w:rPr>
        <w:t>Първи период - от подписването на Римския договор до средата на 80-те г. на 20 в. - подготовката на Общия пазар и стимулирането на икономическия растеж са водещите  цели, а социалните измерения имат допълнително значение. В договора се регламентират принципа на свободното движение на хора в страните  от общността и произтичащите от това мерки за социално-осигурителните системи. Това са първите ангажименти за недопускане на дискриминация.</w:t>
      </w:r>
    </w:p>
    <w:p>
      <w:pPr>
        <w:pStyle w:val="Normal"/>
        <w:numPr>
          <w:ilvl w:val="0"/>
          <w:numId w:val="8"/>
        </w:numPr>
        <w:spacing w:lineRule="auto" w:line="360"/>
        <w:jc w:val="both"/>
        <w:rPr/>
      </w:pPr>
      <w:r>
        <w:rPr>
          <w:b/>
          <w:sz w:val="22"/>
          <w:szCs w:val="22"/>
          <w:lang w:val="bg-BG"/>
        </w:rPr>
        <w:t>Втори период</w:t>
      </w:r>
      <w:r>
        <w:rPr>
          <w:sz w:val="22"/>
          <w:szCs w:val="22"/>
          <w:lang w:val="bg-BG"/>
        </w:rPr>
        <w:t xml:space="preserve"> – от създаваенто на Общия пазар до първата половина на 90-те г. на 20 в. През този период се лансира и тезата  за  европейското социално пространство, което е първата крачка  към обособяване на сектора на координираната  СП. Постига се съгласие  за минималните социални права и за инструменталната роля на социалния диалог. Но като цяло социалните измерения остават на втори план в общата европейска стратегия.</w:t>
      </w:r>
    </w:p>
    <w:p>
      <w:pPr>
        <w:pStyle w:val="Normal"/>
        <w:numPr>
          <w:ilvl w:val="0"/>
          <w:numId w:val="8"/>
        </w:numPr>
        <w:spacing w:lineRule="auto" w:line="360"/>
        <w:jc w:val="both"/>
        <w:rPr/>
      </w:pPr>
      <w:r>
        <w:rPr>
          <w:b/>
          <w:sz w:val="22"/>
          <w:szCs w:val="22"/>
          <w:lang w:val="bg-BG"/>
        </w:rPr>
        <w:t>Третият период</w:t>
      </w:r>
      <w:r>
        <w:rPr>
          <w:sz w:val="22"/>
          <w:szCs w:val="22"/>
          <w:lang w:val="bg-BG"/>
        </w:rPr>
        <w:t xml:space="preserve"> е белязан с подписването на договора от Маастрихт и свързания с него Социален  протокол. Цял кръг нови социални права получават нормативна  уредба, сред които е признаването на ролята на  социалните партньори в защитата на  тези права. Образно казано, СП се придвижва с едно стъпало  по-високо в йерархията на  управленските приоритети; тя вече  се третира  като неразделна част от икономическата интеграция.</w:t>
      </w:r>
    </w:p>
    <w:p>
      <w:pPr>
        <w:pStyle w:val="Normal"/>
        <w:numPr>
          <w:ilvl w:val="0"/>
          <w:numId w:val="8"/>
        </w:numPr>
        <w:spacing w:lineRule="auto" w:line="360"/>
        <w:jc w:val="both"/>
        <w:rPr/>
      </w:pPr>
      <w:r>
        <w:rPr>
          <w:b/>
          <w:sz w:val="22"/>
          <w:szCs w:val="22"/>
          <w:lang w:val="bg-BG"/>
        </w:rPr>
        <w:t>Четвърти</w:t>
      </w:r>
      <w:r>
        <w:rPr>
          <w:sz w:val="22"/>
          <w:szCs w:val="22"/>
          <w:lang w:val="bg-BG"/>
        </w:rPr>
        <w:t xml:space="preserve"> – започва от  втората половина на 90-те г.  на 20 в. и намира израз в </w:t>
      </w:r>
      <w:r>
        <w:rPr>
          <w:b/>
          <w:sz w:val="22"/>
          <w:szCs w:val="22"/>
          <w:lang w:val="bg-BG"/>
        </w:rPr>
        <w:t>Амстердамския договор</w:t>
      </w:r>
      <w:r>
        <w:rPr>
          <w:sz w:val="22"/>
          <w:szCs w:val="22"/>
          <w:lang w:val="bg-BG"/>
        </w:rPr>
        <w:t xml:space="preserve">. </w:t>
      </w:r>
      <w:r>
        <w:rPr>
          <w:b/>
          <w:sz w:val="22"/>
          <w:szCs w:val="22"/>
          <w:lang w:val="bg-BG"/>
        </w:rPr>
        <w:t>С този стратегически документ окончателно  се еманципира СП – като приоритет на европейската интеграция. Проблемите на заетостта и социалното включване, респ. антидискриминационните мерки, излизат на преден план в стратегическия  дневен ред на общността.</w:t>
      </w:r>
    </w:p>
    <w:p>
      <w:pPr>
        <w:pStyle w:val="Normal"/>
        <w:spacing w:lineRule="auto" w:line="360"/>
        <w:ind w:left="75" w:hanging="0"/>
        <w:jc w:val="both"/>
        <w:rPr>
          <w:b/>
          <w:b/>
          <w:sz w:val="22"/>
          <w:szCs w:val="22"/>
          <w:lang w:val="bg-BG"/>
        </w:rPr>
      </w:pPr>
      <w:r>
        <w:rPr>
          <w:b/>
          <w:sz w:val="22"/>
          <w:szCs w:val="22"/>
          <w:lang w:val="bg-BG"/>
        </w:rPr>
      </w:r>
    </w:p>
    <w:p>
      <w:pPr>
        <w:pStyle w:val="Normal"/>
        <w:spacing w:lineRule="auto" w:line="360"/>
        <w:ind w:left="75" w:hanging="0"/>
        <w:jc w:val="both"/>
        <w:rPr/>
      </w:pPr>
      <w:r>
        <w:rPr>
          <w:b/>
          <w:sz w:val="22"/>
          <w:szCs w:val="22"/>
          <w:lang w:val="bg-BG"/>
        </w:rPr>
        <w:tab/>
      </w:r>
      <w:r>
        <w:rPr>
          <w:sz w:val="22"/>
          <w:szCs w:val="22"/>
          <w:lang w:val="bg-BG"/>
        </w:rPr>
        <w:t xml:space="preserve">Сред  2004 г. ЕСМ навлиза в качествено нова фаза, белязана от политическия избор  и нормативните условия  за най-голямото разширяване на общността. Присъединяването на 8-те източноевропейски страни, последвано от  членството на България и Румъния, изправя  европейския социален проект  </w:t>
      </w:r>
      <w:r>
        <w:rPr>
          <w:b/>
          <w:sz w:val="22"/>
          <w:szCs w:val="22"/>
          <w:lang w:val="bg-BG"/>
        </w:rPr>
        <w:t>пред двойно  предизвикателство</w:t>
      </w:r>
      <w:r>
        <w:rPr>
          <w:sz w:val="22"/>
          <w:szCs w:val="22"/>
          <w:lang w:val="bg-BG"/>
        </w:rPr>
        <w:t xml:space="preserve">: </w:t>
      </w:r>
    </w:p>
    <w:p>
      <w:pPr>
        <w:pStyle w:val="Normal"/>
        <w:spacing w:lineRule="auto" w:line="360"/>
        <w:ind w:left="75" w:hanging="0"/>
        <w:jc w:val="both"/>
        <w:rPr>
          <w:i/>
          <w:i/>
          <w:sz w:val="22"/>
          <w:szCs w:val="22"/>
          <w:lang w:val="bg-BG"/>
        </w:rPr>
      </w:pPr>
      <w:r>
        <w:rPr>
          <w:i/>
          <w:sz w:val="22"/>
          <w:szCs w:val="22"/>
          <w:lang w:val="bg-BG"/>
        </w:rPr>
        <w:t xml:space="preserve">а/ да задълбочава  социалната интеграция в общността; </w:t>
      </w:r>
    </w:p>
    <w:p>
      <w:pPr>
        <w:pStyle w:val="Normal"/>
        <w:spacing w:lineRule="auto" w:line="360"/>
        <w:ind w:left="75" w:hanging="0"/>
        <w:jc w:val="both"/>
        <w:rPr>
          <w:b/>
          <w:b/>
          <w:sz w:val="22"/>
          <w:szCs w:val="22"/>
          <w:lang w:val="bg-BG"/>
        </w:rPr>
      </w:pPr>
      <w:r>
        <w:rPr>
          <w:i/>
          <w:sz w:val="22"/>
          <w:szCs w:val="22"/>
          <w:lang w:val="bg-BG"/>
        </w:rPr>
        <w:t>б/ да вгради в този процес  преходните/хибридни социални системи</w:t>
      </w:r>
      <w:r>
        <w:rPr>
          <w:sz w:val="22"/>
          <w:szCs w:val="22"/>
          <w:lang w:val="bg-BG"/>
        </w:rPr>
        <w:t xml:space="preserve"> на голяма група  нови държави, развивали се с десетилетия по непазарна, държавно маркирана траектория.</w:t>
      </w:r>
    </w:p>
    <w:p>
      <w:pPr>
        <w:pStyle w:val="Normal"/>
        <w:spacing w:lineRule="auto" w:line="360"/>
        <w:ind w:left="75" w:hanging="0"/>
        <w:jc w:val="both"/>
        <w:rPr>
          <w:b/>
          <w:b/>
          <w:sz w:val="22"/>
          <w:szCs w:val="22"/>
          <w:lang w:val="bg-BG"/>
        </w:rPr>
      </w:pPr>
      <w:r>
        <w:rPr>
          <w:b/>
          <w:sz w:val="22"/>
          <w:szCs w:val="22"/>
          <w:lang w:val="bg-BG"/>
        </w:rPr>
        <w:tab/>
      </w:r>
      <w:r>
        <w:rPr>
          <w:sz w:val="22"/>
          <w:szCs w:val="22"/>
          <w:lang w:val="bg-BG"/>
        </w:rPr>
        <w:t xml:space="preserve">Следователно, може да обощим, че социалната интеграция в европейската общност действиетлно има постъпателен и градивен характер. Социалните измерения и параметри на общата политика се разширяват в зависимост от нарастването на икономическия потенциал на държавите-членки и на общността като цяло. Социалните права  от определен момент придобиват равностойно значение с  гражданските права. Социалните институции /социален диалог и партньорство/ се вграждат в общата институционална  мрежа. Социалните инвестиции се приемат  като необходимост за икономическия напредък и спечелването на  предимство  в глобалната  конкуренция. </w:t>
      </w:r>
      <w:r>
        <w:rPr>
          <w:b/>
          <w:sz w:val="22"/>
          <w:szCs w:val="22"/>
          <w:lang w:val="bg-BG"/>
        </w:rPr>
        <w:t>Накратко, ЕСМ не  е самоцел, а интегрална  част от общия проект за създаване на пълнокръвно  функционираща  регионална общност, приета  от нациите  и гражданите, разчитаща на  тяхната подкрепа  в сложни и кризисни ситуации</w:t>
      </w:r>
      <w:r>
        <w:rPr>
          <w:sz w:val="22"/>
          <w:szCs w:val="22"/>
          <w:lang w:val="bg-BG"/>
        </w:rPr>
        <w:t>.</w:t>
      </w:r>
    </w:p>
    <w:p>
      <w:pPr>
        <w:pStyle w:val="Normal"/>
        <w:spacing w:lineRule="auto" w:line="360"/>
        <w:jc w:val="both"/>
        <w:rPr>
          <w:b/>
          <w:b/>
          <w:sz w:val="22"/>
          <w:szCs w:val="22"/>
          <w:lang w:val="bg-BG"/>
        </w:rPr>
      </w:pPr>
      <w:r>
        <w:rPr>
          <w:b/>
          <w:sz w:val="22"/>
          <w:szCs w:val="22"/>
          <w:lang w:val="bg-BG"/>
        </w:rPr>
      </w:r>
    </w:p>
    <w:p>
      <w:pPr>
        <w:pStyle w:val="Normal"/>
        <w:spacing w:lineRule="auto" w:line="360"/>
        <w:jc w:val="both"/>
        <w:rPr>
          <w:b/>
          <w:b/>
          <w:sz w:val="22"/>
          <w:szCs w:val="22"/>
          <w:lang w:val="bg-BG"/>
        </w:rPr>
      </w:pPr>
      <w:r>
        <w:rPr>
          <w:b/>
          <w:sz w:val="22"/>
          <w:szCs w:val="22"/>
          <w:lang w:val="bg-BG"/>
        </w:rPr>
        <w:t>4. Механизъм за координация</w:t>
      </w:r>
    </w:p>
    <w:p>
      <w:pPr>
        <w:pStyle w:val="Normal"/>
        <w:spacing w:lineRule="auto" w:line="360"/>
        <w:jc w:val="both"/>
        <w:rPr/>
      </w:pPr>
      <w:r>
        <w:rPr>
          <w:sz w:val="22"/>
          <w:szCs w:val="22"/>
          <w:lang w:val="bg-BG"/>
        </w:rPr>
        <w:tab/>
        <w:t xml:space="preserve">В схематичен вид  логическата  верига, чрез която ЕС функционира  като социална общност има </w:t>
      </w:r>
      <w:r>
        <w:rPr>
          <w:b/>
          <w:sz w:val="22"/>
          <w:szCs w:val="22"/>
          <w:lang w:val="bg-BG"/>
        </w:rPr>
        <w:t>следния вид</w:t>
      </w:r>
      <w:r>
        <w:rPr>
          <w:sz w:val="22"/>
          <w:szCs w:val="22"/>
          <w:lang w:val="bg-BG"/>
        </w:rPr>
        <w:t xml:space="preserve">: </w:t>
      </w:r>
      <w:r>
        <w:rPr>
          <w:b/>
          <w:sz w:val="22"/>
          <w:szCs w:val="22"/>
          <w:lang w:val="bg-BG"/>
        </w:rPr>
        <w:t>ценности – цели – минимални  стандарти – норми - план за дейстиве.</w:t>
      </w:r>
    </w:p>
    <w:p>
      <w:pPr>
        <w:pStyle w:val="Normal"/>
        <w:spacing w:lineRule="auto" w:line="360"/>
        <w:jc w:val="both"/>
        <w:rPr/>
      </w:pPr>
      <w:r>
        <w:rPr>
          <w:b/>
          <w:i/>
          <w:sz w:val="22"/>
          <w:szCs w:val="22"/>
          <w:lang w:val="bg-BG"/>
        </w:rPr>
        <w:t>1. Ценности</w:t>
      </w:r>
      <w:r>
        <w:rPr>
          <w:sz w:val="22"/>
          <w:szCs w:val="22"/>
          <w:lang w:val="bg-BG"/>
        </w:rPr>
        <w:t xml:space="preserve"> – те лежат в основата на  ЕСМ, това са споделени  ценности като  солидарност, конкуренция, кохезия и др. Те имат траен, непреходен характер. От тях периодично се извеждат и формулират общите социални  цели, които имат първоначално индикативен характер.</w:t>
      </w:r>
    </w:p>
    <w:p>
      <w:pPr>
        <w:pStyle w:val="Normal"/>
        <w:spacing w:lineRule="auto" w:line="360"/>
        <w:jc w:val="both"/>
        <w:rPr/>
      </w:pPr>
      <w:r>
        <w:rPr>
          <w:b/>
          <w:sz w:val="22"/>
          <w:szCs w:val="22"/>
          <w:lang w:val="bg-BG"/>
        </w:rPr>
        <w:t>2. Цели</w:t>
      </w:r>
      <w:r>
        <w:rPr>
          <w:sz w:val="22"/>
          <w:szCs w:val="22"/>
          <w:lang w:val="bg-BG"/>
        </w:rPr>
        <w:t xml:space="preserve"> -  те са конкретни управленски ориентири, които насочват националните политики в определено направление, прието за приоритетно и същевременно фиксират желаното състояние  към опредеелн момент. Например, през 90-те г.  на 20 в. преодоляването на високата безработица, респ. разкриването на  нови работгни места беше първостепенна цел на страните от ЕС. В началото на  настоящото десетилетие в йерархията на  стратегическите приоритети челно място заемат </w:t>
      </w:r>
      <w:r>
        <w:rPr>
          <w:b/>
          <w:sz w:val="22"/>
          <w:szCs w:val="22"/>
          <w:lang w:val="bg-BG"/>
        </w:rPr>
        <w:t>социалното включване и преодоляването на дискриминацията.</w:t>
      </w:r>
    </w:p>
    <w:p>
      <w:pPr>
        <w:pStyle w:val="Normal"/>
        <w:spacing w:lineRule="auto" w:line="360"/>
        <w:jc w:val="both"/>
        <w:rPr/>
      </w:pPr>
      <w:r>
        <w:rPr>
          <w:b/>
          <w:sz w:val="22"/>
          <w:szCs w:val="22"/>
          <w:lang w:val="bg-BG"/>
        </w:rPr>
        <w:t>3. Минималните стандарти</w:t>
      </w:r>
      <w:r>
        <w:rPr>
          <w:sz w:val="22"/>
          <w:szCs w:val="22"/>
          <w:lang w:val="bg-BG"/>
        </w:rPr>
        <w:t xml:space="preserve"> – почти половин век  страните от общността работят с минимални стандарти, обозначаващи долната допустима граница  за задоволяване на социалните потребности на своите граждани. Минималните  стандарти са онзи елемент  на управленския  механизм /наред с общите цели/, който се приема  от европейските страни, независимо от различията в традициите и идеологиите. Самата  концепция  за обществото на благоденствието, принципно се гради  върху това разбиране. Не е случайно, че автори с коренно различаващи се политически убеждения като Кросланд, Бевъридж и Хаейек са съгласни с примата на минималните стандарти в СП.  Те действат като  икономически стимули и като политически стабилизатори /В.Джордж  и П.Уайлдинг/.</w:t>
      </w:r>
    </w:p>
    <w:p>
      <w:pPr>
        <w:pStyle w:val="Normal"/>
        <w:spacing w:lineRule="auto" w:line="360"/>
        <w:jc w:val="both"/>
        <w:rPr/>
      </w:pPr>
      <w:r>
        <w:rPr>
          <w:b/>
          <w:sz w:val="22"/>
          <w:szCs w:val="22"/>
          <w:lang w:val="bg-BG"/>
        </w:rPr>
        <w:t>Типични примери: минималните  РЗ</w:t>
      </w:r>
      <w:r>
        <w:rPr>
          <w:sz w:val="22"/>
          <w:szCs w:val="22"/>
          <w:lang w:val="bg-BG"/>
        </w:rPr>
        <w:t xml:space="preserve">, които дават стартовото равнище  за  колективинте преговори  между работодателите и синдикатите; </w:t>
      </w:r>
      <w:r>
        <w:rPr>
          <w:b/>
          <w:sz w:val="22"/>
          <w:szCs w:val="22"/>
          <w:lang w:val="bg-BG"/>
        </w:rPr>
        <w:t>базисните трудови стандарти</w:t>
      </w:r>
      <w:r>
        <w:rPr>
          <w:sz w:val="22"/>
          <w:szCs w:val="22"/>
          <w:lang w:val="bg-BG"/>
        </w:rPr>
        <w:t>, приети от МОТ.</w:t>
      </w:r>
    </w:p>
    <w:p>
      <w:pPr>
        <w:pStyle w:val="Normal"/>
        <w:spacing w:lineRule="auto" w:line="360"/>
        <w:jc w:val="both"/>
        <w:rPr/>
      </w:pPr>
      <w:r>
        <w:rPr>
          <w:sz w:val="22"/>
          <w:szCs w:val="22"/>
          <w:lang w:val="bg-BG"/>
        </w:rPr>
        <w:tab/>
      </w:r>
      <w:r>
        <w:rPr>
          <w:b/>
          <w:sz w:val="22"/>
          <w:szCs w:val="22"/>
          <w:lang w:val="bg-BG"/>
        </w:rPr>
        <w:t>Стимулиращата  функция</w:t>
      </w:r>
      <w:r>
        <w:rPr>
          <w:sz w:val="22"/>
          <w:szCs w:val="22"/>
          <w:lang w:val="bg-BG"/>
        </w:rPr>
        <w:t xml:space="preserve"> се изразява в това, че над задължителния минимум остава свободно пространство за секторна/групава конкуренция и за самоинициатива на гражданите, които са мотивирани да постигнат по-високо качество на живота. Същевременно  гаранциите  за достъп на  всеки индивид до минималните социални услуги предпазва обществото от дълбоки  сътресения и конфликти. Дълголетната  история на капитализма доказва ефикасността на тази саморегулираща се система. </w:t>
      </w:r>
    </w:p>
    <w:p>
      <w:pPr>
        <w:pStyle w:val="Normal"/>
        <w:spacing w:lineRule="auto" w:line="360"/>
        <w:jc w:val="both"/>
        <w:rPr>
          <w:sz w:val="22"/>
          <w:szCs w:val="22"/>
          <w:lang w:val="bg-BG"/>
        </w:rPr>
      </w:pPr>
      <w:r>
        <w:rPr>
          <w:sz w:val="22"/>
          <w:szCs w:val="22"/>
          <w:lang w:val="bg-BG"/>
        </w:rPr>
        <w:tab/>
        <w:t xml:space="preserve"> Фридрих Хайек  прави  съществено уточнение, че общността може да поеме задължението да поддържа минимално равнище на благосъстоянието за всички, но не и да фиксира „справедлива” позиция за  всеки индивид поотделно и да насочва към него ресурс, какъвто си мисли, че той заслужава. Това особено се отнася  за индивидуалното възнаграждение, което се формира според принципите на пазарната система, каквито са производителността на труда, качоството на работата, търсенето и предлагането на работна сила, рентабилността и т.н.</w:t>
      </w:r>
    </w:p>
    <w:p>
      <w:pPr>
        <w:pStyle w:val="Normal"/>
        <w:spacing w:lineRule="auto" w:line="360"/>
        <w:jc w:val="both"/>
        <w:rPr/>
      </w:pPr>
      <w:r>
        <w:rPr>
          <w:b/>
          <w:sz w:val="22"/>
          <w:szCs w:val="22"/>
          <w:lang w:val="bg-BG"/>
        </w:rPr>
        <w:t>4. Нормите</w:t>
      </w:r>
      <w:r>
        <w:rPr>
          <w:sz w:val="22"/>
          <w:szCs w:val="22"/>
          <w:lang w:val="bg-BG"/>
        </w:rPr>
        <w:t xml:space="preserve"> – са следващият регулатор в европейската СП.  подобно  на минималните стандарти. Те са общоприети, т.е. минали са  през съгласувателна процедура; заедно с това имат селективен характер, т.е. не всяко действие в социалния сектор се покрива /урежда чрез императивни правни норми.</w:t>
      </w:r>
    </w:p>
    <w:p>
      <w:pPr>
        <w:pStyle w:val="Normal"/>
        <w:spacing w:lineRule="auto" w:line="360"/>
        <w:ind w:left="75" w:hanging="0"/>
        <w:jc w:val="both"/>
        <w:rPr/>
      </w:pPr>
      <w:r>
        <w:rPr>
          <w:b/>
          <w:sz w:val="22"/>
          <w:szCs w:val="22"/>
          <w:lang w:val="bg-BG"/>
        </w:rPr>
        <w:tab/>
        <w:t>Директивите и други оперативни  правни инструменти</w:t>
      </w:r>
      <w:r>
        <w:rPr>
          <w:sz w:val="22"/>
          <w:szCs w:val="22"/>
          <w:lang w:val="bg-BG"/>
        </w:rPr>
        <w:t xml:space="preserve"> покриват главно четири области : </w:t>
      </w:r>
    </w:p>
    <w:p>
      <w:pPr>
        <w:pStyle w:val="Normal"/>
        <w:spacing w:lineRule="auto" w:line="360"/>
        <w:ind w:left="75" w:hanging="0"/>
        <w:jc w:val="both"/>
        <w:rPr>
          <w:sz w:val="22"/>
          <w:szCs w:val="22"/>
          <w:lang w:val="bg-BG"/>
        </w:rPr>
      </w:pPr>
      <w:r>
        <w:rPr>
          <w:sz w:val="22"/>
          <w:szCs w:val="22"/>
          <w:lang w:val="bg-BG"/>
        </w:rPr>
        <w:t xml:space="preserve">а/ свободно движение на  работната сила; </w:t>
      </w:r>
    </w:p>
    <w:p>
      <w:pPr>
        <w:pStyle w:val="Normal"/>
        <w:spacing w:lineRule="auto" w:line="360"/>
        <w:ind w:left="75" w:hanging="0"/>
        <w:jc w:val="both"/>
        <w:rPr>
          <w:sz w:val="22"/>
          <w:szCs w:val="22"/>
          <w:lang w:val="bg-BG"/>
        </w:rPr>
      </w:pPr>
      <w:r>
        <w:rPr>
          <w:sz w:val="22"/>
          <w:szCs w:val="22"/>
          <w:lang w:val="bg-BG"/>
        </w:rPr>
        <w:t xml:space="preserve">б/ права на работниците; </w:t>
      </w:r>
    </w:p>
    <w:p>
      <w:pPr>
        <w:pStyle w:val="Normal"/>
        <w:spacing w:lineRule="auto" w:line="360"/>
        <w:ind w:left="75" w:hanging="0"/>
        <w:jc w:val="both"/>
        <w:rPr>
          <w:sz w:val="22"/>
          <w:szCs w:val="22"/>
          <w:lang w:val="bg-BG"/>
        </w:rPr>
      </w:pPr>
      <w:r>
        <w:rPr>
          <w:sz w:val="22"/>
          <w:szCs w:val="22"/>
          <w:lang w:val="bg-BG"/>
        </w:rPr>
        <w:t xml:space="preserve">в/ равни възможности на мъжете и на жените; </w:t>
      </w:r>
    </w:p>
    <w:p>
      <w:pPr>
        <w:pStyle w:val="Normal"/>
        <w:spacing w:lineRule="auto" w:line="360"/>
        <w:ind w:left="75" w:hanging="0"/>
        <w:jc w:val="both"/>
        <w:rPr>
          <w:sz w:val="22"/>
          <w:szCs w:val="22"/>
          <w:lang w:val="bg-BG"/>
        </w:rPr>
      </w:pPr>
      <w:r>
        <w:rPr>
          <w:sz w:val="22"/>
          <w:szCs w:val="22"/>
          <w:lang w:val="bg-BG"/>
        </w:rPr>
        <w:t>г/ здравословни и безопасни условия на труд.</w:t>
      </w:r>
    </w:p>
    <w:p>
      <w:pPr>
        <w:pStyle w:val="Normal"/>
        <w:spacing w:lineRule="auto" w:line="360"/>
        <w:ind w:left="75" w:hanging="0"/>
        <w:jc w:val="both"/>
        <w:rPr/>
      </w:pPr>
      <w:r>
        <w:rPr>
          <w:sz w:val="22"/>
          <w:szCs w:val="22"/>
          <w:lang w:val="bg-BG"/>
        </w:rPr>
        <w:t xml:space="preserve">Съвкупността от всички  норми и административни изисквания, наречени на брюкселски  жаргон </w:t>
      </w:r>
      <w:r>
        <w:rPr>
          <w:b/>
          <w:sz w:val="22"/>
          <w:szCs w:val="22"/>
          <w:lang w:val="bg-BG"/>
        </w:rPr>
        <w:t>аки комуникер</w:t>
      </w:r>
      <w:r>
        <w:rPr>
          <w:sz w:val="22"/>
          <w:szCs w:val="22"/>
          <w:lang w:val="bg-BG"/>
        </w:rPr>
        <w:t xml:space="preserve"> са важен инструмент в мониторинга, който  органите на ЕС осъществяват над  отделните страни. Това е неотменимж изискване в процеса на разширяването и  всяка нова страна, преминаваща през  преговорните процедури, е длъжна да докаже приложимостта на европейските норми в националното законодателство и социалната пракитка.</w:t>
      </w:r>
    </w:p>
    <w:p>
      <w:pPr>
        <w:pStyle w:val="Normal"/>
        <w:spacing w:lineRule="auto" w:line="360"/>
        <w:ind w:left="75" w:hanging="0"/>
        <w:jc w:val="both"/>
        <w:rPr/>
      </w:pPr>
      <w:r>
        <w:rPr>
          <w:b/>
          <w:sz w:val="22"/>
          <w:szCs w:val="22"/>
          <w:lang w:val="bg-BG"/>
        </w:rPr>
        <w:t>5. Национален план за действие е поредният  инструмент</w:t>
      </w:r>
      <w:r>
        <w:rPr>
          <w:sz w:val="22"/>
          <w:szCs w:val="22"/>
          <w:lang w:val="bg-BG"/>
        </w:rPr>
        <w:t xml:space="preserve">  в европейската СП, възприет  след решенията в Лисабон.  Всъщност става  дума за цяло управленско нововъведение, известно  като </w:t>
      </w:r>
      <w:r>
        <w:rPr>
          <w:b/>
          <w:sz w:val="22"/>
          <w:szCs w:val="22"/>
          <w:lang w:val="bg-BG"/>
        </w:rPr>
        <w:t>отворен метод за координация /ОМК/</w:t>
      </w:r>
      <w:r>
        <w:rPr>
          <w:sz w:val="22"/>
          <w:szCs w:val="22"/>
          <w:lang w:val="bg-BG"/>
        </w:rPr>
        <w:t>. Както личи от наименованието, чрез този метод общността прозрачно налага общите цели в националното  управление и трасира пътя  за тяхното постигане. Методът  се прилага  най-вече  в области, където липсва детайлна правна регулация, или тя  не е желателна. по-конкретно става дума за заетостта, социалното изключване, бедността, здравеопазването, пенсионното осигуряване.</w:t>
      </w:r>
    </w:p>
    <w:p>
      <w:pPr>
        <w:pStyle w:val="Normal"/>
        <w:spacing w:lineRule="auto" w:line="360"/>
        <w:ind w:left="75" w:hanging="0"/>
        <w:jc w:val="both"/>
        <w:rPr/>
      </w:pPr>
      <w:r>
        <w:rPr>
          <w:sz w:val="22"/>
          <w:szCs w:val="22"/>
          <w:lang w:val="bg-BG"/>
        </w:rPr>
        <w:tab/>
        <w:t xml:space="preserve">ОМК е управленско наименование за процедура от </w:t>
      </w:r>
      <w:r>
        <w:rPr>
          <w:b/>
          <w:sz w:val="22"/>
          <w:szCs w:val="22"/>
          <w:lang w:val="bg-BG"/>
        </w:rPr>
        <w:t>три стъпки</w:t>
      </w:r>
      <w:r>
        <w:rPr>
          <w:sz w:val="22"/>
          <w:szCs w:val="22"/>
          <w:lang w:val="bg-BG"/>
        </w:rPr>
        <w:t>:</w:t>
      </w:r>
    </w:p>
    <w:p>
      <w:pPr>
        <w:pStyle w:val="Normal"/>
        <w:spacing w:lineRule="auto" w:line="360"/>
        <w:ind w:left="75" w:hanging="0"/>
        <w:jc w:val="both"/>
        <w:rPr>
          <w:sz w:val="22"/>
          <w:szCs w:val="22"/>
          <w:lang w:val="bg-BG"/>
        </w:rPr>
      </w:pPr>
      <w:r>
        <w:rPr>
          <w:sz w:val="22"/>
          <w:szCs w:val="22"/>
          <w:lang w:val="bg-BG"/>
        </w:rPr>
        <w:t xml:space="preserve">а/ формулиране на приоритетни цели; </w:t>
      </w:r>
    </w:p>
    <w:p>
      <w:pPr>
        <w:pStyle w:val="Normal"/>
        <w:spacing w:lineRule="auto" w:line="360"/>
        <w:ind w:left="75" w:hanging="0"/>
        <w:jc w:val="both"/>
        <w:rPr>
          <w:sz w:val="22"/>
          <w:szCs w:val="22"/>
          <w:lang w:val="bg-BG"/>
        </w:rPr>
      </w:pPr>
      <w:r>
        <w:rPr>
          <w:sz w:val="22"/>
          <w:szCs w:val="22"/>
          <w:lang w:val="bg-BG"/>
        </w:rPr>
        <w:t xml:space="preserve">б/ разработка на национален план за действие; </w:t>
      </w:r>
    </w:p>
    <w:p>
      <w:pPr>
        <w:pStyle w:val="Normal"/>
        <w:spacing w:lineRule="auto" w:line="360"/>
        <w:ind w:left="75" w:hanging="0"/>
        <w:jc w:val="both"/>
        <w:rPr>
          <w:sz w:val="22"/>
          <w:szCs w:val="22"/>
          <w:lang w:val="bg-BG"/>
        </w:rPr>
      </w:pPr>
      <w:r>
        <w:rPr>
          <w:sz w:val="22"/>
          <w:szCs w:val="22"/>
          <w:lang w:val="bg-BG"/>
        </w:rPr>
        <w:t xml:space="preserve">в/ многостранен мониторинг на изпълнението. </w:t>
      </w:r>
    </w:p>
    <w:p>
      <w:pPr>
        <w:pStyle w:val="Normal"/>
        <w:spacing w:lineRule="auto" w:line="360"/>
        <w:ind w:left="75" w:hanging="0"/>
        <w:jc w:val="both"/>
        <w:rPr>
          <w:sz w:val="22"/>
          <w:szCs w:val="22"/>
          <w:lang w:val="bg-BG"/>
        </w:rPr>
      </w:pPr>
      <w:r>
        <w:rPr>
          <w:sz w:val="22"/>
          <w:szCs w:val="22"/>
          <w:lang w:val="bg-BG"/>
        </w:rPr>
        <w:tab/>
        <w:t>Процедурата е задължителна за страните-членки и за тези, които са в процес на преговори за  присъединяване. Препоръките  от мониторинга също  трябва да се прилагат в националната  практика, за да подобрят функционирането на определения сегмент на СП.</w:t>
      </w:r>
    </w:p>
    <w:p>
      <w:pPr>
        <w:pStyle w:val="Normal"/>
        <w:spacing w:lineRule="auto" w:line="360"/>
        <w:ind w:left="75" w:hanging="0"/>
        <w:jc w:val="both"/>
        <w:rPr>
          <w:sz w:val="22"/>
          <w:szCs w:val="22"/>
          <w:lang w:val="bg-BG"/>
        </w:rPr>
      </w:pPr>
      <w:r>
        <w:rPr>
          <w:sz w:val="22"/>
          <w:szCs w:val="22"/>
          <w:lang w:val="bg-BG"/>
        </w:rPr>
        <w:tab/>
        <w:t>За сега  оценките за ефикасността на ОМК са противоречиви. Широка известност придоби доклада  на комисията, ръководена от Вим Кок, бивш премиер на Холандия, в който  резултатите от амстердамсктата стратегия се подлагат на сериозна критика. Очевидно има области на СП, които допускат наднационално регулиране, други подлежат на обща координация; трети би трябвало да останат в кръга на националните отговорности.</w:t>
      </w:r>
    </w:p>
    <w:p>
      <w:pPr>
        <w:pStyle w:val="Normal"/>
        <w:spacing w:lineRule="auto" w:line="360"/>
        <w:ind w:left="75" w:hanging="0"/>
        <w:jc w:val="both"/>
        <w:rPr>
          <w:sz w:val="22"/>
          <w:szCs w:val="22"/>
          <w:lang w:val="bg-BG"/>
        </w:rPr>
      </w:pPr>
      <w:r>
        <w:rPr>
          <w:sz w:val="22"/>
          <w:szCs w:val="22"/>
          <w:lang w:val="bg-BG"/>
        </w:rPr>
      </w:r>
    </w:p>
    <w:p>
      <w:pPr>
        <w:pStyle w:val="Normal"/>
        <w:numPr>
          <w:ilvl w:val="1"/>
          <w:numId w:val="3"/>
        </w:numPr>
        <w:spacing w:lineRule="auto" w:line="360"/>
        <w:jc w:val="both"/>
        <w:rPr>
          <w:b/>
          <w:b/>
          <w:sz w:val="22"/>
          <w:szCs w:val="22"/>
          <w:lang w:val="bg-BG"/>
        </w:rPr>
      </w:pPr>
      <w:r>
        <w:rPr>
          <w:b/>
          <w:sz w:val="22"/>
          <w:szCs w:val="22"/>
          <w:lang w:val="bg-BG"/>
        </w:rPr>
        <w:tab/>
        <w:t>Европейска социална харта</w:t>
      </w:r>
    </w:p>
    <w:p>
      <w:pPr>
        <w:pStyle w:val="Normal"/>
        <w:spacing w:lineRule="auto" w:line="360"/>
        <w:ind w:firstLine="75"/>
        <w:jc w:val="both"/>
        <w:rPr/>
      </w:pPr>
      <w:r>
        <w:rPr>
          <w:sz w:val="22"/>
          <w:szCs w:val="22"/>
          <w:lang w:val="bg-BG"/>
        </w:rPr>
        <w:tab/>
        <w:t xml:space="preserve">ЕС е единствената  регионална общност, която е приела </w:t>
      </w:r>
      <w:r>
        <w:rPr>
          <w:b/>
          <w:sz w:val="22"/>
          <w:szCs w:val="22"/>
          <w:lang w:val="bg-BG"/>
        </w:rPr>
        <w:t>пакет от правни актове със  социално съдържание и предназначение</w:t>
      </w:r>
      <w:r>
        <w:rPr>
          <w:sz w:val="22"/>
          <w:szCs w:val="22"/>
          <w:lang w:val="bg-BG"/>
        </w:rPr>
        <w:t>. Става дума по-конкретно  за 4 взаимосвързани и взаимно допълващи се документа, известни като европейски  социални харти.</w:t>
      </w:r>
    </w:p>
    <w:p>
      <w:pPr>
        <w:pStyle w:val="Normal"/>
        <w:numPr>
          <w:ilvl w:val="0"/>
          <w:numId w:val="4"/>
        </w:numPr>
        <w:spacing w:lineRule="auto" w:line="360"/>
        <w:jc w:val="both"/>
        <w:rPr/>
      </w:pPr>
      <w:r>
        <w:rPr>
          <w:b/>
          <w:sz w:val="22"/>
          <w:szCs w:val="22"/>
          <w:lang w:val="bg-BG"/>
        </w:rPr>
        <w:t xml:space="preserve">Европейска Конвенция за човешките права /1951 </w:t>
      </w:r>
      <w:r>
        <w:rPr>
          <w:sz w:val="22"/>
          <w:szCs w:val="22"/>
          <w:lang w:val="bg-BG"/>
        </w:rPr>
        <w:t>г./, гарантираща  гражданските и политическите права;</w:t>
      </w:r>
    </w:p>
    <w:p>
      <w:pPr>
        <w:pStyle w:val="Normal"/>
        <w:numPr>
          <w:ilvl w:val="0"/>
          <w:numId w:val="4"/>
        </w:numPr>
        <w:spacing w:lineRule="auto" w:line="360"/>
        <w:jc w:val="both"/>
        <w:rPr>
          <w:sz w:val="22"/>
          <w:szCs w:val="22"/>
          <w:lang w:val="bg-BG"/>
        </w:rPr>
      </w:pPr>
      <w:r>
        <w:rPr>
          <w:sz w:val="22"/>
          <w:szCs w:val="22"/>
          <w:lang w:val="bg-BG"/>
        </w:rPr>
        <w:t>/Ревизирана /Европейска социална харта/ на Съвета на Европа/;</w:t>
      </w:r>
    </w:p>
    <w:p>
      <w:pPr>
        <w:pStyle w:val="Normal"/>
        <w:numPr>
          <w:ilvl w:val="0"/>
          <w:numId w:val="4"/>
        </w:numPr>
        <w:spacing w:lineRule="auto" w:line="360"/>
        <w:jc w:val="both"/>
        <w:rPr>
          <w:sz w:val="22"/>
          <w:szCs w:val="22"/>
          <w:lang w:val="bg-BG"/>
        </w:rPr>
      </w:pPr>
      <w:r>
        <w:rPr>
          <w:sz w:val="22"/>
          <w:szCs w:val="22"/>
          <w:lang w:val="bg-BG"/>
        </w:rPr>
        <w:t>Харта за правата на работниците /1989 г./ - първа обща база на  фундаменталните социални права;</w:t>
      </w:r>
    </w:p>
    <w:p>
      <w:pPr>
        <w:pStyle w:val="Normal"/>
        <w:numPr>
          <w:ilvl w:val="0"/>
          <w:numId w:val="4"/>
        </w:numPr>
        <w:spacing w:lineRule="auto" w:line="360"/>
        <w:jc w:val="both"/>
        <w:rPr>
          <w:sz w:val="22"/>
          <w:szCs w:val="22"/>
          <w:lang w:val="bg-BG"/>
        </w:rPr>
      </w:pPr>
      <w:r>
        <w:rPr>
          <w:sz w:val="22"/>
          <w:szCs w:val="22"/>
          <w:lang w:val="bg-BG"/>
        </w:rPr>
        <w:t>Европейска харта  за фундаменталните човешки права /2000/ - поставя  социалните права на  същото равнище, както човешките.</w:t>
      </w:r>
    </w:p>
    <w:p>
      <w:pPr>
        <w:pStyle w:val="Normal"/>
        <w:spacing w:lineRule="auto" w:line="360"/>
        <w:ind w:left="75" w:firstLine="285"/>
        <w:jc w:val="both"/>
        <w:rPr>
          <w:b/>
          <w:b/>
          <w:sz w:val="22"/>
          <w:szCs w:val="22"/>
          <w:lang w:val="bg-BG"/>
        </w:rPr>
      </w:pPr>
      <w:r>
        <w:rPr>
          <w:b/>
          <w:sz w:val="22"/>
          <w:szCs w:val="22"/>
          <w:lang w:val="bg-BG"/>
        </w:rPr>
      </w:r>
    </w:p>
    <w:p>
      <w:pPr>
        <w:pStyle w:val="Normal"/>
        <w:spacing w:lineRule="auto" w:line="360"/>
        <w:ind w:left="75" w:firstLine="285"/>
        <w:jc w:val="both"/>
        <w:rPr/>
      </w:pPr>
      <w:r>
        <w:rPr>
          <w:b/>
          <w:sz w:val="22"/>
          <w:szCs w:val="22"/>
          <w:lang w:val="bg-BG"/>
        </w:rPr>
        <w:t>Европейската социална харта /ЕСХ/</w:t>
      </w:r>
      <w:r>
        <w:rPr>
          <w:sz w:val="22"/>
          <w:szCs w:val="22"/>
          <w:lang w:val="bg-BG"/>
        </w:rPr>
        <w:t xml:space="preserve"> е основополагащ  договор, който урежда  икономическите права на работниците и гражданите на страните от общността. </w:t>
      </w:r>
    </w:p>
    <w:p>
      <w:pPr>
        <w:pStyle w:val="Normal"/>
        <w:spacing w:lineRule="auto" w:line="360"/>
        <w:ind w:left="75" w:firstLine="285"/>
        <w:jc w:val="both"/>
        <w:rPr/>
      </w:pPr>
      <w:r>
        <w:rPr>
          <w:b/>
          <w:sz w:val="22"/>
          <w:szCs w:val="22"/>
          <w:lang w:val="bg-BG"/>
        </w:rPr>
        <w:tab/>
      </w:r>
      <w:r>
        <w:rPr>
          <w:sz w:val="22"/>
          <w:szCs w:val="22"/>
          <w:lang w:val="bg-BG"/>
        </w:rPr>
        <w:t xml:space="preserve">От една страна, ЕСХ допълва и конкретизира най-стария документ - Европейската  Конвенция  за защита  правата на човека, т.е. тя е продължение на  политическите и гражданските ангажименти на общността. </w:t>
      </w:r>
    </w:p>
    <w:p>
      <w:pPr>
        <w:pStyle w:val="Normal"/>
        <w:spacing w:lineRule="auto" w:line="360"/>
        <w:ind w:left="75" w:firstLine="285"/>
        <w:jc w:val="both"/>
        <w:rPr>
          <w:sz w:val="22"/>
          <w:szCs w:val="22"/>
          <w:lang w:val="bg-BG"/>
        </w:rPr>
      </w:pPr>
      <w:r>
        <w:rPr>
          <w:sz w:val="22"/>
          <w:szCs w:val="22"/>
          <w:lang w:val="bg-BG"/>
        </w:rPr>
        <w:tab/>
        <w:t xml:space="preserve">От друга страна, социалната харта е един от източниците на първия проект за европейска конституция. </w:t>
      </w:r>
    </w:p>
    <w:p>
      <w:pPr>
        <w:pStyle w:val="Normal"/>
        <w:spacing w:lineRule="auto" w:line="360"/>
        <w:ind w:left="75" w:firstLine="285"/>
        <w:jc w:val="both"/>
        <w:rPr>
          <w:sz w:val="22"/>
          <w:szCs w:val="22"/>
          <w:lang w:val="bg-BG"/>
        </w:rPr>
      </w:pPr>
      <w:r>
        <w:rPr>
          <w:sz w:val="22"/>
          <w:szCs w:val="22"/>
          <w:lang w:val="bg-BG"/>
        </w:rPr>
        <w:tab/>
        <w:t>От трета страна, ЕСХ предоставя на националните системи за социален диалог стандарти и норми, които могат да станат  предмет на договаряне между социалните партньори. По този начин  хартата е  не само правен инструмент, елемент от т.н. аки, но и средство за развите на институции и регулаторни механизми, което  придава  легитимност и валидност на проекта за Социална Европа.</w:t>
      </w:r>
    </w:p>
    <w:p>
      <w:pPr>
        <w:pStyle w:val="Normal"/>
        <w:spacing w:lineRule="auto" w:line="360"/>
        <w:ind w:left="75" w:firstLine="285"/>
        <w:jc w:val="both"/>
        <w:rPr/>
      </w:pPr>
      <w:r>
        <w:rPr>
          <w:sz w:val="22"/>
          <w:szCs w:val="22"/>
          <w:lang w:val="bg-BG"/>
        </w:rPr>
        <w:t>ЕСХ е приета  през 1961г. и влиза в сила през 1965г. В първоначалния</w:t>
      </w:r>
      <w:r>
        <w:rPr>
          <w:sz w:val="22"/>
          <w:szCs w:val="22"/>
          <w:lang w:val="ru-RU"/>
        </w:rPr>
        <w:t xml:space="preserve"> </w:t>
      </w:r>
      <w:r>
        <w:rPr>
          <w:sz w:val="22"/>
          <w:szCs w:val="22"/>
          <w:lang w:val="bg-BG"/>
        </w:rPr>
        <w:t>си вариант тя закрепва следните основни права:</w:t>
      </w:r>
    </w:p>
    <w:p>
      <w:pPr>
        <w:pStyle w:val="Normal"/>
        <w:numPr>
          <w:ilvl w:val="0"/>
          <w:numId w:val="1"/>
        </w:numPr>
        <w:spacing w:lineRule="auto" w:line="360"/>
        <w:jc w:val="both"/>
        <w:rPr>
          <w:sz w:val="22"/>
          <w:szCs w:val="22"/>
          <w:lang w:val="bg-BG"/>
        </w:rPr>
      </w:pPr>
      <w:r>
        <w:rPr>
          <w:sz w:val="22"/>
          <w:szCs w:val="22"/>
          <w:lang w:val="bg-BG"/>
        </w:rPr>
        <w:t>право на труд, на професионално ориентиране и обучение;</w:t>
      </w:r>
    </w:p>
    <w:p>
      <w:pPr>
        <w:pStyle w:val="Normal"/>
        <w:numPr>
          <w:ilvl w:val="0"/>
          <w:numId w:val="1"/>
        </w:numPr>
        <w:spacing w:lineRule="auto" w:line="360"/>
        <w:jc w:val="both"/>
        <w:rPr/>
      </w:pPr>
      <w:r>
        <w:rPr>
          <w:sz w:val="22"/>
          <w:szCs w:val="22"/>
          <w:lang w:val="bg-BG"/>
        </w:rPr>
        <w:t>права, свързани с професионалната работа /заплащане, квалификация, усл</w:t>
      </w:r>
      <w:r>
        <w:rPr>
          <w:sz w:val="22"/>
          <w:szCs w:val="22"/>
          <w:lang w:val="ru-RU"/>
        </w:rPr>
        <w:t>ов</w:t>
      </w:r>
      <w:r>
        <w:rPr>
          <w:sz w:val="22"/>
          <w:szCs w:val="22"/>
          <w:lang w:val="bg-BG"/>
        </w:rPr>
        <w:t>ия на труд/;</w:t>
      </w:r>
    </w:p>
    <w:p>
      <w:pPr>
        <w:pStyle w:val="Normal"/>
        <w:numPr>
          <w:ilvl w:val="0"/>
          <w:numId w:val="1"/>
        </w:numPr>
        <w:spacing w:lineRule="auto" w:line="360"/>
        <w:jc w:val="both"/>
        <w:rPr>
          <w:sz w:val="22"/>
          <w:szCs w:val="22"/>
          <w:lang w:val="bg-BG"/>
        </w:rPr>
      </w:pPr>
      <w:r>
        <w:rPr>
          <w:sz w:val="22"/>
          <w:szCs w:val="22"/>
          <w:lang w:val="bg-BG"/>
        </w:rPr>
        <w:t>синдикални права, водещи сред които са правото на сдружаване, колективни преговори и стачка;</w:t>
      </w:r>
    </w:p>
    <w:p>
      <w:pPr>
        <w:pStyle w:val="Normal"/>
        <w:numPr>
          <w:ilvl w:val="0"/>
          <w:numId w:val="1"/>
        </w:numPr>
        <w:spacing w:lineRule="auto" w:line="360"/>
        <w:jc w:val="both"/>
        <w:rPr>
          <w:sz w:val="22"/>
          <w:szCs w:val="22"/>
          <w:lang w:val="bg-BG"/>
        </w:rPr>
      </w:pPr>
      <w:r>
        <w:rPr>
          <w:sz w:val="22"/>
          <w:szCs w:val="22"/>
          <w:lang w:val="bg-BG"/>
        </w:rPr>
        <w:t>общи социални права /на здравеопазване, образование, социално подпомагане, социално осигуряване и др./;</w:t>
      </w:r>
    </w:p>
    <w:p>
      <w:pPr>
        <w:pStyle w:val="Normal"/>
        <w:numPr>
          <w:ilvl w:val="0"/>
          <w:numId w:val="1"/>
        </w:numPr>
        <w:spacing w:lineRule="auto" w:line="360"/>
        <w:jc w:val="both"/>
        <w:rPr>
          <w:sz w:val="22"/>
          <w:szCs w:val="22"/>
          <w:lang w:val="bg-BG"/>
        </w:rPr>
      </w:pPr>
      <w:r>
        <w:rPr>
          <w:sz w:val="22"/>
          <w:szCs w:val="22"/>
          <w:lang w:val="bg-BG"/>
        </w:rPr>
        <w:t>специфични социални права, насочени към интеграцията на  т.н. уязвими групи – инвалиди, емигранти, деца и юноши, жени и др.</w:t>
      </w:r>
    </w:p>
    <w:p>
      <w:pPr>
        <w:pStyle w:val="Normal"/>
        <w:spacing w:lineRule="auto" w:line="360"/>
        <w:jc w:val="both"/>
        <w:rPr/>
      </w:pPr>
      <w:r>
        <w:rPr>
          <w:sz w:val="22"/>
          <w:szCs w:val="22"/>
          <w:lang w:val="bg-BG"/>
        </w:rPr>
        <w:tab/>
        <w:t xml:space="preserve">В последствие ЕСХ е ревизирана и допълвана няколкократно със специалин протоколи от 1988, 1991 и 1995 г. В резултат на тези поправки се стига до нов документ, наречен </w:t>
      </w:r>
      <w:r>
        <w:rPr>
          <w:b/>
          <w:sz w:val="22"/>
          <w:szCs w:val="22"/>
          <w:lang w:val="bg-BG"/>
        </w:rPr>
        <w:t xml:space="preserve">Ревизирана ЕСХ, която е приета  от Съвета на Европа през 1966 г. </w:t>
      </w:r>
      <w:r>
        <w:rPr>
          <w:sz w:val="22"/>
          <w:szCs w:val="22"/>
          <w:lang w:val="bg-BG"/>
        </w:rPr>
        <w:t>Страните, членки на общността, както и тези, които са започнали преговори  за присъединяване, могат да избират кой вариант да ратифицират, първоначалния, ревизираният или и двата. Има истрани, които известно време се въздържат от ратификация, съобразявайки се с вътрешната ситуация /степента на готовност да приложат нормите на хартата/; или поради принципни различия по отделни раздели /случаят с Англия/. Като цяло, ЕСХ е между нормативните актове, които създават най-големи трудности в приложното поле на правото и СП, дължащи се на различните традиции /главно в Северна Европа/,  недостиг на материални ресурси /в новоприсъединяващите се страни/, или липса на административен капацитет.</w:t>
      </w:r>
    </w:p>
    <w:p>
      <w:pPr>
        <w:pStyle w:val="Normal"/>
        <w:spacing w:lineRule="auto" w:line="360"/>
        <w:jc w:val="both"/>
        <w:rPr/>
      </w:pPr>
      <w:r>
        <w:rPr>
          <w:sz w:val="22"/>
          <w:szCs w:val="22"/>
          <w:lang w:val="bg-BG"/>
        </w:rPr>
        <w:tab/>
      </w:r>
      <w:r>
        <w:rPr>
          <w:b/>
          <w:sz w:val="22"/>
          <w:szCs w:val="22"/>
          <w:lang w:val="bg-BG"/>
        </w:rPr>
        <w:t>България е една от първите източноевропейски страни, ратифицирали ЕСХ</w:t>
      </w:r>
      <w:r>
        <w:rPr>
          <w:sz w:val="22"/>
          <w:szCs w:val="22"/>
          <w:lang w:val="bg-BG"/>
        </w:rPr>
        <w:t xml:space="preserve">, при това доста преди да получи зелена линия за пълноправно членство в общността. Българският вариант е иннтересен  най-вече поради </w:t>
      </w:r>
      <w:r>
        <w:rPr>
          <w:b/>
          <w:sz w:val="22"/>
          <w:szCs w:val="22"/>
          <w:lang w:val="bg-BG"/>
        </w:rPr>
        <w:t>решението да поеме  ангажименти за изпълнение на почти всички  клаузи, които имат  задължителен характер /т.н. твърдо ядро на хартата/ и повечето периферни клаузи</w:t>
      </w:r>
      <w:r>
        <w:rPr>
          <w:sz w:val="22"/>
          <w:szCs w:val="22"/>
          <w:lang w:val="bg-BG"/>
        </w:rPr>
        <w:t>. По този начин се надхвърля изискването за минимален обем  от 16 изцяло ратифицирани клаузи и се покрива целия периметър от социални права на работниците и служителите,м; на синдикатите; на други специфични  групи – възрастни, деца, майки, мигранти.</w:t>
      </w:r>
    </w:p>
    <w:p>
      <w:pPr>
        <w:pStyle w:val="Normal"/>
        <w:spacing w:lineRule="auto" w:line="360"/>
        <w:jc w:val="both"/>
        <w:rPr>
          <w:sz w:val="22"/>
          <w:szCs w:val="22"/>
          <w:lang w:val="bg-BG"/>
        </w:rPr>
      </w:pPr>
      <w:r>
        <w:rPr>
          <w:sz w:val="22"/>
          <w:szCs w:val="22"/>
          <w:lang w:val="bg-BG"/>
        </w:rPr>
      </w:r>
    </w:p>
    <w:p>
      <w:pPr>
        <w:pStyle w:val="Normal"/>
        <w:spacing w:lineRule="auto" w:line="360"/>
        <w:jc w:val="both"/>
        <w:rPr>
          <w:b/>
          <w:b/>
          <w:sz w:val="22"/>
          <w:szCs w:val="22"/>
          <w:lang w:val="bg-BG"/>
        </w:rPr>
      </w:pPr>
      <w:r>
        <w:rPr>
          <w:b/>
          <w:sz w:val="22"/>
          <w:szCs w:val="22"/>
          <w:lang w:val="bg-BG"/>
        </w:rPr>
        <w:t>Ратифицирани клаузи на ЕСХ в България</w:t>
      </w:r>
    </w:p>
    <w:p>
      <w:pPr>
        <w:pStyle w:val="Normal"/>
        <w:spacing w:lineRule="auto" w:line="360"/>
        <w:jc w:val="both"/>
        <w:rPr>
          <w:b/>
          <w:b/>
          <w:i/>
          <w:i/>
          <w:sz w:val="22"/>
          <w:szCs w:val="22"/>
          <w:lang w:val="bg-BG"/>
        </w:rPr>
      </w:pPr>
      <w:r>
        <w:rPr>
          <w:b/>
          <w:i/>
          <w:sz w:val="22"/>
          <w:szCs w:val="22"/>
          <w:lang w:val="bg-BG"/>
        </w:rPr>
        <w:t>Твърдо ядро</w:t>
      </w:r>
    </w:p>
    <w:p>
      <w:pPr>
        <w:pStyle w:val="Normal"/>
        <w:numPr>
          <w:ilvl w:val="0"/>
          <w:numId w:val="2"/>
        </w:numPr>
        <w:spacing w:lineRule="auto" w:line="360"/>
        <w:jc w:val="both"/>
        <w:rPr>
          <w:sz w:val="22"/>
          <w:szCs w:val="22"/>
          <w:lang w:val="bg-BG"/>
        </w:rPr>
      </w:pPr>
      <w:r>
        <w:rPr>
          <w:sz w:val="22"/>
          <w:szCs w:val="22"/>
          <w:lang w:val="bg-BG"/>
        </w:rPr>
        <w:t>Право на труд /чл.1/</w:t>
      </w:r>
    </w:p>
    <w:p>
      <w:pPr>
        <w:pStyle w:val="Normal"/>
        <w:numPr>
          <w:ilvl w:val="0"/>
          <w:numId w:val="2"/>
        </w:numPr>
        <w:spacing w:lineRule="auto" w:line="360"/>
        <w:jc w:val="both"/>
        <w:rPr>
          <w:sz w:val="22"/>
          <w:szCs w:val="22"/>
          <w:lang w:val="bg-BG"/>
        </w:rPr>
      </w:pPr>
      <w:r>
        <w:rPr>
          <w:sz w:val="22"/>
          <w:szCs w:val="22"/>
          <w:lang w:val="bg-BG"/>
        </w:rPr>
        <w:t>Право на синдикално сдружаване /чл.5</w:t>
      </w:r>
    </w:p>
    <w:p>
      <w:pPr>
        <w:pStyle w:val="Normal"/>
        <w:numPr>
          <w:ilvl w:val="0"/>
          <w:numId w:val="2"/>
        </w:numPr>
        <w:spacing w:lineRule="auto" w:line="360"/>
        <w:jc w:val="both"/>
        <w:rPr>
          <w:sz w:val="22"/>
          <w:szCs w:val="22"/>
          <w:lang w:val="bg-BG"/>
        </w:rPr>
      </w:pPr>
      <w:r>
        <w:rPr>
          <w:sz w:val="22"/>
          <w:szCs w:val="22"/>
          <w:lang w:val="bg-BG"/>
        </w:rPr>
        <w:t>Право на колективно договаряне /чл.6/</w:t>
      </w:r>
    </w:p>
    <w:p>
      <w:pPr>
        <w:pStyle w:val="Normal"/>
        <w:numPr>
          <w:ilvl w:val="0"/>
          <w:numId w:val="2"/>
        </w:numPr>
        <w:spacing w:lineRule="auto" w:line="360"/>
        <w:jc w:val="both"/>
        <w:rPr>
          <w:sz w:val="22"/>
          <w:szCs w:val="22"/>
          <w:lang w:val="bg-BG"/>
        </w:rPr>
      </w:pPr>
      <w:r>
        <w:rPr>
          <w:sz w:val="22"/>
          <w:szCs w:val="22"/>
          <w:lang w:val="bg-BG"/>
        </w:rPr>
        <w:t>Право на децита  ина младежта на закрила /чл.7/</w:t>
      </w:r>
    </w:p>
    <w:p>
      <w:pPr>
        <w:pStyle w:val="Normal"/>
        <w:numPr>
          <w:ilvl w:val="0"/>
          <w:numId w:val="2"/>
        </w:numPr>
        <w:spacing w:lineRule="auto" w:line="360"/>
        <w:jc w:val="both"/>
        <w:rPr>
          <w:sz w:val="22"/>
          <w:szCs w:val="22"/>
          <w:lang w:val="bg-BG"/>
        </w:rPr>
      </w:pPr>
      <w:r>
        <w:rPr>
          <w:sz w:val="22"/>
          <w:szCs w:val="22"/>
          <w:lang w:val="bg-BG"/>
        </w:rPr>
        <w:t>Право на социална и медицинска помощ /чл.12/</w:t>
      </w:r>
    </w:p>
    <w:p>
      <w:pPr>
        <w:pStyle w:val="Normal"/>
        <w:numPr>
          <w:ilvl w:val="0"/>
          <w:numId w:val="2"/>
        </w:numPr>
        <w:spacing w:lineRule="auto" w:line="360"/>
        <w:jc w:val="both"/>
        <w:rPr>
          <w:sz w:val="22"/>
          <w:szCs w:val="22"/>
          <w:lang w:val="bg-BG"/>
        </w:rPr>
      </w:pPr>
      <w:r>
        <w:rPr>
          <w:sz w:val="22"/>
          <w:szCs w:val="22"/>
          <w:lang w:val="bg-BG"/>
        </w:rPr>
        <w:t>Право на  семейството на социална, правна и икономичаска закрила /чл.16/</w:t>
      </w:r>
    </w:p>
    <w:p>
      <w:pPr>
        <w:pStyle w:val="Normal"/>
        <w:numPr>
          <w:ilvl w:val="0"/>
          <w:numId w:val="2"/>
        </w:numPr>
        <w:spacing w:lineRule="auto" w:line="360"/>
        <w:jc w:val="both"/>
        <w:rPr>
          <w:sz w:val="22"/>
          <w:szCs w:val="22"/>
          <w:lang w:val="bg-BG"/>
        </w:rPr>
      </w:pPr>
      <w:r>
        <w:rPr>
          <w:sz w:val="22"/>
          <w:szCs w:val="22"/>
          <w:lang w:val="bg-BG"/>
        </w:rPr>
        <w:t>Право на мигриращата работна сила  и нейното семейство  на защита и помощ /чл.19/</w:t>
      </w:r>
    </w:p>
    <w:p>
      <w:pPr>
        <w:pStyle w:val="Normal"/>
        <w:numPr>
          <w:ilvl w:val="0"/>
          <w:numId w:val="2"/>
        </w:numPr>
        <w:spacing w:lineRule="auto" w:line="360"/>
        <w:jc w:val="both"/>
        <w:rPr>
          <w:sz w:val="22"/>
          <w:szCs w:val="22"/>
          <w:lang w:val="bg-BG"/>
        </w:rPr>
      </w:pPr>
      <w:r>
        <w:rPr>
          <w:sz w:val="22"/>
          <w:szCs w:val="22"/>
          <w:lang w:val="bg-BG"/>
        </w:rPr>
        <w:t>Право на равни шансове  и еднакво отношение в областта на заетостта и професията без дискриминация на основата на пола /чл.20/</w:t>
      </w:r>
    </w:p>
    <w:p>
      <w:pPr>
        <w:pStyle w:val="Normal"/>
        <w:spacing w:lineRule="auto" w:line="360"/>
        <w:jc w:val="both"/>
        <w:rPr>
          <w:b/>
          <w:b/>
          <w:i/>
          <w:i/>
          <w:sz w:val="22"/>
          <w:szCs w:val="22"/>
          <w:lang w:val="bg-BG"/>
        </w:rPr>
      </w:pPr>
      <w:r>
        <w:rPr>
          <w:b/>
          <w:i/>
          <w:sz w:val="22"/>
          <w:szCs w:val="22"/>
          <w:lang w:val="bg-BG"/>
        </w:rPr>
        <w:t>Периферни клаузи</w:t>
      </w:r>
    </w:p>
    <w:p>
      <w:pPr>
        <w:pStyle w:val="Normal"/>
        <w:numPr>
          <w:ilvl w:val="0"/>
          <w:numId w:val="12"/>
        </w:numPr>
        <w:spacing w:lineRule="auto" w:line="360"/>
        <w:jc w:val="both"/>
        <w:rPr>
          <w:sz w:val="22"/>
          <w:szCs w:val="22"/>
          <w:lang w:val="bg-BG"/>
        </w:rPr>
      </w:pPr>
      <w:r>
        <w:rPr>
          <w:sz w:val="22"/>
          <w:szCs w:val="22"/>
          <w:lang w:val="bg-BG"/>
        </w:rPr>
        <w:t>Право на безопасни и здравословни условия на труд /чл.3/</w:t>
      </w:r>
    </w:p>
    <w:p>
      <w:pPr>
        <w:pStyle w:val="Normal"/>
        <w:numPr>
          <w:ilvl w:val="0"/>
          <w:numId w:val="12"/>
        </w:numPr>
        <w:spacing w:lineRule="auto" w:line="360"/>
        <w:jc w:val="both"/>
        <w:rPr>
          <w:sz w:val="22"/>
          <w:szCs w:val="22"/>
          <w:lang w:val="bg-BG"/>
        </w:rPr>
      </w:pPr>
      <w:r>
        <w:rPr>
          <w:sz w:val="22"/>
          <w:szCs w:val="22"/>
          <w:lang w:val="bg-BG"/>
        </w:rPr>
        <w:t>Право на работещите  жени на закрила на майчинството /чл.8/</w:t>
      </w:r>
    </w:p>
    <w:p>
      <w:pPr>
        <w:pStyle w:val="Normal"/>
        <w:numPr>
          <w:ilvl w:val="0"/>
          <w:numId w:val="12"/>
        </w:numPr>
        <w:spacing w:lineRule="auto" w:line="360"/>
        <w:jc w:val="both"/>
        <w:rPr>
          <w:sz w:val="22"/>
          <w:szCs w:val="22"/>
          <w:lang w:val="bg-BG"/>
        </w:rPr>
      </w:pPr>
      <w:r>
        <w:rPr>
          <w:sz w:val="22"/>
          <w:szCs w:val="22"/>
          <w:lang w:val="bg-BG"/>
        </w:rPr>
        <w:t>Право на опазване на здравето /чл.11/</w:t>
      </w:r>
    </w:p>
    <w:p>
      <w:pPr>
        <w:pStyle w:val="Normal"/>
        <w:numPr>
          <w:ilvl w:val="0"/>
          <w:numId w:val="12"/>
        </w:numPr>
        <w:spacing w:lineRule="auto" w:line="360"/>
        <w:jc w:val="both"/>
        <w:rPr>
          <w:sz w:val="22"/>
          <w:szCs w:val="22"/>
          <w:lang w:val="bg-BG"/>
        </w:rPr>
      </w:pPr>
      <w:r>
        <w:rPr>
          <w:sz w:val="22"/>
          <w:szCs w:val="22"/>
          <w:lang w:val="bg-BG"/>
        </w:rPr>
        <w:t>Право на ползване на социални грижи /чл.14/</w:t>
      </w:r>
    </w:p>
    <w:p>
      <w:pPr>
        <w:pStyle w:val="Normal"/>
        <w:numPr>
          <w:ilvl w:val="0"/>
          <w:numId w:val="12"/>
        </w:numPr>
        <w:spacing w:lineRule="auto" w:line="360"/>
        <w:jc w:val="both"/>
        <w:rPr>
          <w:sz w:val="22"/>
          <w:szCs w:val="22"/>
          <w:lang w:val="bg-BG"/>
        </w:rPr>
      </w:pPr>
      <w:r>
        <w:rPr>
          <w:sz w:val="22"/>
          <w:szCs w:val="22"/>
          <w:lang w:val="bg-BG"/>
        </w:rPr>
        <w:t>Право на информация и допитване /чл.21/</w:t>
      </w:r>
    </w:p>
    <w:p>
      <w:pPr>
        <w:pStyle w:val="Normal"/>
        <w:numPr>
          <w:ilvl w:val="0"/>
          <w:numId w:val="12"/>
        </w:numPr>
        <w:spacing w:lineRule="auto" w:line="360"/>
        <w:jc w:val="both"/>
        <w:rPr>
          <w:sz w:val="22"/>
          <w:szCs w:val="22"/>
          <w:lang w:val="bg-BG"/>
        </w:rPr>
      </w:pPr>
      <w:r>
        <w:rPr>
          <w:sz w:val="22"/>
          <w:szCs w:val="22"/>
          <w:lang w:val="bg-BG"/>
        </w:rPr>
        <w:t>Право на участие в определянето  и подобряването на условията на труд и работната среда /чл.24/</w:t>
      </w:r>
    </w:p>
    <w:p>
      <w:pPr>
        <w:pStyle w:val="Normal"/>
        <w:numPr>
          <w:ilvl w:val="0"/>
          <w:numId w:val="12"/>
        </w:numPr>
        <w:spacing w:lineRule="auto" w:line="360"/>
        <w:jc w:val="both"/>
        <w:rPr>
          <w:sz w:val="22"/>
          <w:szCs w:val="22"/>
          <w:lang w:val="bg-BG"/>
        </w:rPr>
      </w:pPr>
      <w:r>
        <w:rPr>
          <w:sz w:val="22"/>
          <w:szCs w:val="22"/>
          <w:lang w:val="bg-BG"/>
        </w:rPr>
        <w:t>Право на закрила при предстрочно освобождаване /чл.24</w:t>
      </w:r>
    </w:p>
    <w:p>
      <w:pPr>
        <w:pStyle w:val="Normal"/>
        <w:numPr>
          <w:ilvl w:val="0"/>
          <w:numId w:val="12"/>
        </w:numPr>
        <w:spacing w:lineRule="auto" w:line="360"/>
        <w:jc w:val="both"/>
        <w:rPr>
          <w:sz w:val="22"/>
          <w:szCs w:val="22"/>
          <w:lang w:val="bg-BG"/>
        </w:rPr>
      </w:pPr>
      <w:r>
        <w:rPr>
          <w:sz w:val="22"/>
          <w:szCs w:val="22"/>
          <w:lang w:val="bg-BG"/>
        </w:rPr>
        <w:t>Право  на работниците  за защита  на техните  вземания в случай на  несъстоятелност на  техните работодатели /чл.25/</w:t>
      </w:r>
    </w:p>
    <w:p>
      <w:pPr>
        <w:pStyle w:val="Normal"/>
        <w:numPr>
          <w:ilvl w:val="0"/>
          <w:numId w:val="12"/>
        </w:numPr>
        <w:spacing w:lineRule="auto" w:line="360"/>
        <w:jc w:val="both"/>
        <w:rPr>
          <w:sz w:val="22"/>
          <w:szCs w:val="22"/>
          <w:lang w:val="bg-BG"/>
        </w:rPr>
      </w:pPr>
      <w:r>
        <w:rPr>
          <w:sz w:val="22"/>
          <w:szCs w:val="22"/>
          <w:lang w:val="bg-BG"/>
        </w:rPr>
        <w:t>Право на зачитане на  достойнството на работното  място /чл.26/</w:t>
      </w:r>
    </w:p>
    <w:p>
      <w:pPr>
        <w:pStyle w:val="Normal"/>
        <w:numPr>
          <w:ilvl w:val="0"/>
          <w:numId w:val="12"/>
        </w:numPr>
        <w:spacing w:lineRule="auto" w:line="360"/>
        <w:jc w:val="both"/>
        <w:rPr>
          <w:sz w:val="22"/>
          <w:szCs w:val="22"/>
          <w:lang w:val="bg-BG"/>
        </w:rPr>
      </w:pPr>
      <w:r>
        <w:rPr>
          <w:sz w:val="22"/>
          <w:szCs w:val="22"/>
          <w:lang w:val="bg-BG"/>
        </w:rPr>
        <w:t xml:space="preserve"> </w:t>
      </w:r>
      <w:r>
        <w:rPr>
          <w:sz w:val="22"/>
          <w:szCs w:val="22"/>
          <w:lang w:val="bg-BG"/>
        </w:rPr>
        <w:t>Право на представителите на работниците в предприятията на закрила и на осигуряване на условия за работата им /чл.28/</w:t>
      </w:r>
    </w:p>
    <w:p>
      <w:pPr>
        <w:pStyle w:val="Normal"/>
        <w:numPr>
          <w:ilvl w:val="0"/>
          <w:numId w:val="12"/>
        </w:numPr>
        <w:spacing w:lineRule="auto" w:line="360"/>
        <w:jc w:val="both"/>
        <w:rPr>
          <w:sz w:val="22"/>
          <w:szCs w:val="22"/>
          <w:lang w:val="bg-BG"/>
        </w:rPr>
      </w:pPr>
      <w:r>
        <w:rPr>
          <w:sz w:val="22"/>
          <w:szCs w:val="22"/>
          <w:lang w:val="bg-BG"/>
        </w:rPr>
        <w:t xml:space="preserve"> </w:t>
      </w:r>
      <w:r>
        <w:rPr>
          <w:sz w:val="22"/>
          <w:szCs w:val="22"/>
          <w:lang w:val="bg-BG"/>
        </w:rPr>
        <w:t>Право на информиране и комуникиране в случаи на масови уволнения /чл.29/.</w:t>
      </w:r>
    </w:p>
    <w:p>
      <w:pPr>
        <w:pStyle w:val="Normal"/>
        <w:spacing w:lineRule="auto" w:line="360"/>
        <w:ind w:left="360" w:hanging="0"/>
        <w:jc w:val="both"/>
        <w:rPr>
          <w:sz w:val="22"/>
          <w:szCs w:val="22"/>
          <w:lang w:val="bg-BG"/>
        </w:rPr>
      </w:pPr>
      <w:r>
        <w:rPr>
          <w:sz w:val="22"/>
          <w:szCs w:val="22"/>
          <w:lang w:val="bg-BG"/>
        </w:rPr>
        <w:tab/>
        <w:t>Подробният  коментар на съдържанието на ЕСХ, както и на</w:t>
      </w:r>
    </w:p>
    <w:p>
      <w:pPr>
        <w:pStyle w:val="Normal"/>
        <w:spacing w:lineRule="auto" w:line="360"/>
        <w:ind w:left="360" w:hanging="0"/>
        <w:jc w:val="both"/>
        <w:rPr>
          <w:sz w:val="22"/>
          <w:szCs w:val="22"/>
          <w:lang w:val="bg-BG"/>
        </w:rPr>
      </w:pPr>
      <w:r>
        <w:rPr>
          <w:sz w:val="22"/>
          <w:szCs w:val="22"/>
          <w:lang w:val="bg-BG"/>
        </w:rPr>
        <w:t>предназначението на клаузите, приети  от България, излиза извън предметния обхват  на лекцията. Но начинът на изпълнение на поетите ангажименти и механизмът на контрол върху приложението на  нормите не може  да се подминават. Те са неотменима съставан част от  процедурите  за обща координация, които показват как действа на практика наднационалния  социален европейски модел.</w:t>
      </w:r>
    </w:p>
    <w:p>
      <w:pPr>
        <w:pStyle w:val="Normal"/>
        <w:spacing w:lineRule="auto" w:line="360"/>
        <w:jc w:val="both"/>
        <w:rPr/>
      </w:pPr>
      <w:r>
        <w:rPr>
          <w:b/>
          <w:sz w:val="22"/>
          <w:szCs w:val="22"/>
          <w:lang w:val="bg-BG"/>
        </w:rPr>
        <w:t xml:space="preserve">Изпълнението </w:t>
      </w:r>
      <w:r>
        <w:rPr>
          <w:sz w:val="22"/>
          <w:szCs w:val="22"/>
          <w:lang w:val="bg-BG"/>
        </w:rPr>
        <w:t>– то се гарантира  по силата на обстояятелството, че като международен договор ЕСХ има предимство пред нациналните актове, ако те му противоречят. Но в ревизирания вариант на хартата е предоставена възможност за избор на начините, чрез които се реализират нейните норми. Това са: закони и подзаконови актове; споразумения между работодателите и техни олганизации и организации на работниците; съчетаване на  горните два подхода; други подходящи средства, в т.ч. тристранни споразумения.</w:t>
      </w:r>
    </w:p>
    <w:p>
      <w:pPr>
        <w:pStyle w:val="Normal"/>
        <w:spacing w:lineRule="auto" w:line="360"/>
        <w:jc w:val="both"/>
        <w:rPr/>
      </w:pPr>
      <w:r>
        <w:rPr>
          <w:b/>
          <w:sz w:val="22"/>
          <w:szCs w:val="22"/>
          <w:lang w:val="bg-BG"/>
        </w:rPr>
        <w:t>Контролът</w:t>
      </w:r>
      <w:r>
        <w:rPr>
          <w:sz w:val="22"/>
          <w:szCs w:val="22"/>
          <w:lang w:val="bg-BG"/>
        </w:rPr>
        <w:t xml:space="preserve"> – се осъществява чрез </w:t>
      </w:r>
      <w:r>
        <w:rPr>
          <w:b/>
          <w:sz w:val="22"/>
          <w:szCs w:val="22"/>
          <w:lang w:val="bg-BG"/>
        </w:rPr>
        <w:t xml:space="preserve">два механизма - </w:t>
      </w:r>
      <w:r>
        <w:rPr>
          <w:sz w:val="22"/>
          <w:szCs w:val="22"/>
          <w:lang w:val="bg-BG"/>
        </w:rPr>
        <w:t>изготвяне на правителствен национален доклад; процедура за колективни искания. Вторият механизъм е особено интересен, защото колективни жалби вече се разглеждат масово от Европейския комитет по социалните права - институция, включваща независими експерти от страните-членки на ЕС.</w:t>
      </w:r>
    </w:p>
    <w:p>
      <w:pPr>
        <w:pStyle w:val="Normal"/>
        <w:spacing w:lineRule="auto" w:line="360"/>
        <w:jc w:val="both"/>
        <w:rPr>
          <w:sz w:val="22"/>
          <w:szCs w:val="22"/>
          <w:lang w:val="bg-BG"/>
        </w:rPr>
      </w:pPr>
      <w:r>
        <w:rPr>
          <w:sz w:val="22"/>
          <w:szCs w:val="22"/>
          <w:lang w:val="bg-BG"/>
        </w:rPr>
      </w:r>
    </w:p>
    <w:p>
      <w:pPr>
        <w:pStyle w:val="Normal"/>
        <w:spacing w:lineRule="auto" w:line="360"/>
        <w:jc w:val="both"/>
        <w:rPr>
          <w:b/>
          <w:b/>
          <w:sz w:val="22"/>
          <w:szCs w:val="22"/>
          <w:lang w:val="bg-BG"/>
        </w:rPr>
      </w:pPr>
      <w:r>
        <w:rPr>
          <w:b/>
          <w:sz w:val="22"/>
          <w:szCs w:val="22"/>
          <w:lang w:val="bg-BG"/>
        </w:rPr>
        <w:tab/>
        <w:t>Инвестиционни инструменти: Европейски социален фонд</w:t>
      </w:r>
    </w:p>
    <w:p>
      <w:pPr>
        <w:pStyle w:val="Normal"/>
        <w:spacing w:lineRule="auto" w:line="360"/>
        <w:jc w:val="both"/>
        <w:rPr>
          <w:b/>
          <w:b/>
          <w:sz w:val="22"/>
          <w:szCs w:val="22"/>
          <w:lang w:val="bg-BG"/>
        </w:rPr>
      </w:pPr>
      <w:r>
        <w:rPr>
          <w:b/>
          <w:sz w:val="22"/>
          <w:szCs w:val="22"/>
          <w:lang w:val="bg-BG"/>
        </w:rPr>
      </w:r>
    </w:p>
    <w:p>
      <w:pPr>
        <w:pStyle w:val="Normal"/>
        <w:spacing w:lineRule="auto" w:line="360"/>
        <w:jc w:val="both"/>
        <w:rPr/>
      </w:pPr>
      <w:r>
        <w:rPr>
          <w:sz w:val="22"/>
          <w:szCs w:val="22"/>
          <w:lang w:val="bg-BG"/>
        </w:rPr>
        <w:tab/>
        <w:t xml:space="preserve">Ако социалните харти предлагат нормативната уредба на европейската СП, то </w:t>
      </w:r>
      <w:r>
        <w:rPr>
          <w:b/>
          <w:sz w:val="22"/>
          <w:szCs w:val="22"/>
          <w:lang w:val="bg-BG"/>
        </w:rPr>
        <w:t>общите  фондове осигуряват  ресурси  да поситгане на нейните цели и приоритети</w:t>
      </w:r>
      <w:r>
        <w:rPr>
          <w:sz w:val="22"/>
          <w:szCs w:val="22"/>
          <w:lang w:val="bg-BG"/>
        </w:rPr>
        <w:t xml:space="preserve">. Робърт Гейер вижда в тях  и още едно инструментално  предназначение: </w:t>
      </w:r>
      <w:r>
        <w:rPr>
          <w:b/>
          <w:sz w:val="22"/>
          <w:szCs w:val="22"/>
          <w:lang w:val="bg-BG"/>
        </w:rPr>
        <w:t xml:space="preserve">общността откупува подкрепата на губещите – от интеграцията и възникващите  пазари. </w:t>
      </w:r>
    </w:p>
    <w:p>
      <w:pPr>
        <w:pStyle w:val="Normal"/>
        <w:spacing w:lineRule="auto" w:line="360"/>
        <w:jc w:val="both"/>
        <w:rPr/>
      </w:pPr>
      <w:r>
        <w:rPr>
          <w:sz w:val="22"/>
          <w:szCs w:val="22"/>
          <w:lang w:val="bg-BG"/>
        </w:rPr>
        <w:tab/>
        <w:t xml:space="preserve">След поредното разширяване /2004-2006г./ ЕС изработи пакет от  </w:t>
      </w:r>
      <w:r>
        <w:rPr>
          <w:b/>
          <w:sz w:val="22"/>
          <w:szCs w:val="22"/>
          <w:lang w:val="bg-BG"/>
        </w:rPr>
        <w:t>три финансови инструменти,</w:t>
      </w:r>
      <w:r>
        <w:rPr>
          <w:sz w:val="22"/>
          <w:szCs w:val="22"/>
          <w:lang w:val="bg-BG"/>
        </w:rPr>
        <w:t xml:space="preserve"> които  ще се ползват съгласувано  с държавите  членки, главно за съкращаване на  дистанцията между високоразвитите и изоставащите региони на общността. Към </w:t>
      </w:r>
      <w:r>
        <w:rPr>
          <w:b/>
          <w:sz w:val="22"/>
          <w:szCs w:val="22"/>
          <w:lang w:val="bg-BG"/>
        </w:rPr>
        <w:t xml:space="preserve">пакета от  т.нар.  структурни фондове </w:t>
      </w:r>
      <w:r>
        <w:rPr>
          <w:sz w:val="22"/>
          <w:szCs w:val="22"/>
          <w:lang w:val="bg-BG"/>
        </w:rPr>
        <w:t>са включени</w:t>
      </w:r>
      <w:r>
        <w:rPr>
          <w:b/>
          <w:sz w:val="22"/>
          <w:szCs w:val="22"/>
          <w:lang w:val="bg-BG"/>
        </w:rPr>
        <w:t>:</w:t>
      </w:r>
    </w:p>
    <w:p>
      <w:pPr>
        <w:pStyle w:val="Normal"/>
        <w:numPr>
          <w:ilvl w:val="0"/>
          <w:numId w:val="9"/>
        </w:numPr>
        <w:spacing w:lineRule="auto" w:line="360"/>
        <w:jc w:val="both"/>
        <w:rPr/>
      </w:pPr>
      <w:r>
        <w:rPr>
          <w:i/>
          <w:sz w:val="22"/>
          <w:szCs w:val="22"/>
          <w:lang w:val="bg-BG"/>
        </w:rPr>
        <w:t>Европейски фонд за регионално развитие</w:t>
      </w:r>
      <w:r>
        <w:rPr>
          <w:sz w:val="22"/>
          <w:szCs w:val="22"/>
          <w:lang w:val="bg-BG"/>
        </w:rPr>
        <w:t xml:space="preserve"> – ще се ползва за инвестиции с производствено предназначение, развитие на инфраструктурата и преодоляване на регионалните различия;</w:t>
      </w:r>
    </w:p>
    <w:p>
      <w:pPr>
        <w:pStyle w:val="Normal"/>
        <w:numPr>
          <w:ilvl w:val="0"/>
          <w:numId w:val="9"/>
        </w:numPr>
        <w:spacing w:lineRule="auto" w:line="360"/>
        <w:jc w:val="both"/>
        <w:rPr/>
      </w:pPr>
      <w:r>
        <w:rPr>
          <w:i/>
          <w:sz w:val="22"/>
          <w:szCs w:val="22"/>
          <w:lang w:val="bg-BG"/>
        </w:rPr>
        <w:t>Европейски кохезионен фонд</w:t>
      </w:r>
      <w:r>
        <w:rPr>
          <w:sz w:val="22"/>
          <w:szCs w:val="22"/>
          <w:lang w:val="bg-BG"/>
        </w:rPr>
        <w:t xml:space="preserve"> – фокусиран върху политиката  в областта на околната среда и европейската транспортна инфраструктура;</w:t>
      </w:r>
    </w:p>
    <w:p>
      <w:pPr>
        <w:pStyle w:val="Normal"/>
        <w:numPr>
          <w:ilvl w:val="0"/>
          <w:numId w:val="9"/>
        </w:numPr>
        <w:spacing w:lineRule="auto" w:line="360"/>
        <w:jc w:val="both"/>
        <w:rPr/>
      </w:pPr>
      <w:r>
        <w:rPr>
          <w:i/>
          <w:sz w:val="22"/>
          <w:szCs w:val="22"/>
          <w:lang w:val="bg-BG"/>
        </w:rPr>
        <w:t>Европейски социален фонд /ЕСФ</w:t>
      </w:r>
      <w:r>
        <w:rPr>
          <w:sz w:val="22"/>
          <w:szCs w:val="22"/>
          <w:lang w:val="bg-BG"/>
        </w:rPr>
        <w:t>/,  ориентиран към заетостта, развитието на човешките ресурси и насърчаването на соцалната интеграция.</w:t>
      </w:r>
    </w:p>
    <w:p>
      <w:pPr>
        <w:pStyle w:val="Normal"/>
        <w:spacing w:lineRule="auto" w:line="360"/>
        <w:jc w:val="both"/>
        <w:rPr/>
      </w:pPr>
      <w:r>
        <w:rPr>
          <w:sz w:val="22"/>
          <w:szCs w:val="22"/>
          <w:lang w:val="bg-BG"/>
        </w:rPr>
        <w:tab/>
        <w:t xml:space="preserve">Цялото приложно поле на  структураните фондове влияе пряко или косвено  върху СП – нейните цели и приоритети, механизми и резултати. Това се вижда от </w:t>
      </w:r>
      <w:r>
        <w:rPr>
          <w:b/>
          <w:sz w:val="22"/>
          <w:szCs w:val="22"/>
          <w:lang w:val="bg-BG"/>
        </w:rPr>
        <w:t>приоритетните цели, съгласувани  за периода на действие на фондовете  /2007-2013/: конвергенция; регионална конкуренция и заетост; европейско териториално сътрудничество.</w:t>
      </w:r>
    </w:p>
    <w:p>
      <w:pPr>
        <w:pStyle w:val="Normal"/>
        <w:spacing w:lineRule="auto" w:line="360"/>
        <w:jc w:val="both"/>
        <w:rPr/>
      </w:pPr>
      <w:r>
        <w:rPr>
          <w:sz w:val="22"/>
          <w:szCs w:val="22"/>
          <w:lang w:val="bg-BG"/>
        </w:rPr>
        <w:tab/>
        <w:t xml:space="preserve">Един от  паралелните продукти  в поредната стратегическа инициатива на ЕС е оформянето на нов сегмент в управелнието на социалните дейности и отношения – това е  управлението на социални проекти, в които доминантата  е развиитето на регионите и местните общности. Свидетели сме на оформянето на </w:t>
      </w:r>
      <w:r>
        <w:rPr>
          <w:b/>
          <w:sz w:val="22"/>
          <w:szCs w:val="22"/>
          <w:lang w:val="bg-BG"/>
        </w:rPr>
        <w:t>интердисциплинен професионален клъстер</w:t>
      </w:r>
      <w:r>
        <w:rPr>
          <w:sz w:val="22"/>
          <w:szCs w:val="22"/>
          <w:lang w:val="bg-BG"/>
        </w:rPr>
        <w:t xml:space="preserve"> – прожектанти, дивелопъри /специалист по стратегии за развитие/, специални консултанти и мениджъри на проекти, за което се  изисква интегрална социологическа, финансова, инженерна и правна подготовка.</w:t>
      </w:r>
    </w:p>
    <w:p>
      <w:pPr>
        <w:pStyle w:val="Normal"/>
        <w:spacing w:lineRule="auto" w:line="360"/>
        <w:jc w:val="both"/>
        <w:rPr>
          <w:sz w:val="22"/>
          <w:szCs w:val="22"/>
          <w:lang w:val="bg-BG"/>
        </w:rPr>
      </w:pPr>
      <w:r>
        <w:rPr>
          <w:sz w:val="22"/>
          <w:szCs w:val="22"/>
          <w:lang w:val="bg-BG"/>
        </w:rPr>
        <w:tab/>
        <w:t>Допълнителен импулс за професинално интегриране се получава от изграждането  и разширяването на  межддународни консултантски  мрежи, чрез които се извършва трасфер, управление и последващ авторски контрол на добри социални практики. Затова усвояването на знанията и процедурата  за кандидатстване по европейските  структурни фондове и програми вече е водещ прироритет в социалната конкуренция между нациите, регионите и институциите в периода  на действието  на европейските структурни фондове /2007-2013г./</w:t>
      </w:r>
    </w:p>
    <w:p>
      <w:pPr>
        <w:pStyle w:val="Normal"/>
        <w:spacing w:lineRule="auto" w:line="360"/>
        <w:jc w:val="both"/>
        <w:rPr>
          <w:sz w:val="22"/>
          <w:szCs w:val="22"/>
          <w:lang w:val="bg-BG"/>
        </w:rPr>
      </w:pPr>
      <w:r>
        <w:rPr>
          <w:sz w:val="22"/>
          <w:szCs w:val="22"/>
          <w:lang w:val="bg-BG"/>
        </w:rPr>
      </w:r>
    </w:p>
    <w:p>
      <w:pPr>
        <w:pStyle w:val="Normal"/>
        <w:spacing w:lineRule="auto" w:line="360"/>
        <w:jc w:val="both"/>
        <w:rPr/>
      </w:pPr>
      <w:r>
        <w:rPr>
          <w:sz w:val="22"/>
          <w:szCs w:val="22"/>
          <w:lang w:val="bg-BG"/>
        </w:rPr>
        <w:tab/>
      </w:r>
      <w:r>
        <w:rPr>
          <w:b/>
          <w:sz w:val="22"/>
          <w:szCs w:val="22"/>
          <w:lang w:val="bg-BG"/>
        </w:rPr>
        <w:t>Какъв е замисълът и възможноситте на ЕСФ, който най-добре илюстрира спецификата и приложимостта на теорията и стратегическите проекти на  сравнителната СП?</w:t>
      </w:r>
    </w:p>
    <w:p>
      <w:pPr>
        <w:pStyle w:val="Normal"/>
        <w:spacing w:lineRule="auto" w:line="360"/>
        <w:jc w:val="both"/>
        <w:rPr/>
      </w:pPr>
      <w:r>
        <w:rPr>
          <w:sz w:val="22"/>
          <w:szCs w:val="22"/>
          <w:lang w:val="bg-BG"/>
        </w:rPr>
        <w:tab/>
      </w:r>
      <w:r>
        <w:rPr>
          <w:b/>
          <w:sz w:val="22"/>
          <w:szCs w:val="22"/>
          <w:lang w:val="bg-BG"/>
        </w:rPr>
        <w:t>На първо място</w:t>
      </w:r>
      <w:r>
        <w:rPr>
          <w:sz w:val="22"/>
          <w:szCs w:val="22"/>
          <w:lang w:val="bg-BG"/>
        </w:rPr>
        <w:t xml:space="preserve">, ЕСФ е фокусиран върху човешкия фактор, който е ключов  социален актив в регионалната конкуренция. </w:t>
      </w:r>
    </w:p>
    <w:p>
      <w:pPr>
        <w:pStyle w:val="Normal"/>
        <w:spacing w:lineRule="auto" w:line="360"/>
        <w:jc w:val="both"/>
        <w:rPr/>
      </w:pPr>
      <w:r>
        <w:rPr>
          <w:sz w:val="22"/>
          <w:szCs w:val="22"/>
          <w:lang w:val="bg-BG"/>
        </w:rPr>
        <w:tab/>
      </w:r>
      <w:r>
        <w:rPr>
          <w:b/>
          <w:sz w:val="22"/>
          <w:szCs w:val="22"/>
          <w:lang w:val="bg-BG"/>
        </w:rPr>
        <w:t>На второ място</w:t>
      </w:r>
      <w:r>
        <w:rPr>
          <w:sz w:val="22"/>
          <w:szCs w:val="22"/>
          <w:lang w:val="bg-BG"/>
        </w:rPr>
        <w:t xml:space="preserve">,  проблемите на заетостта и социалната интеграция са най-чувствителното поле на глобалното социално състезание. </w:t>
      </w:r>
    </w:p>
    <w:p>
      <w:pPr>
        <w:pStyle w:val="Normal"/>
        <w:spacing w:lineRule="auto" w:line="360"/>
        <w:jc w:val="both"/>
        <w:rPr/>
      </w:pPr>
      <w:r>
        <w:rPr>
          <w:sz w:val="22"/>
          <w:szCs w:val="22"/>
          <w:lang w:val="bg-BG"/>
        </w:rPr>
        <w:tab/>
      </w:r>
      <w:r>
        <w:rPr>
          <w:b/>
          <w:sz w:val="22"/>
          <w:szCs w:val="22"/>
          <w:lang w:val="bg-BG"/>
        </w:rPr>
        <w:t>На трето масто</w:t>
      </w:r>
      <w:r>
        <w:rPr>
          <w:sz w:val="22"/>
          <w:szCs w:val="22"/>
          <w:lang w:val="bg-BG"/>
        </w:rPr>
        <w:t>,  в ЕСФ целево е заложен принципът на социалното партниране, който  има фундаментално значение за доказването на предимствата на  европейския социален модел.</w:t>
      </w:r>
    </w:p>
    <w:p>
      <w:pPr>
        <w:pStyle w:val="Normal"/>
        <w:spacing w:lineRule="auto" w:line="360"/>
        <w:jc w:val="both"/>
        <w:rPr/>
      </w:pPr>
      <w:r>
        <w:rPr>
          <w:sz w:val="22"/>
          <w:szCs w:val="22"/>
          <w:lang w:val="bg-BG"/>
        </w:rPr>
        <w:tab/>
        <w:t xml:space="preserve">По-конкретно, </w:t>
      </w:r>
      <w:r>
        <w:rPr>
          <w:b/>
          <w:sz w:val="22"/>
          <w:szCs w:val="22"/>
          <w:lang w:val="bg-BG"/>
        </w:rPr>
        <w:t>целите на стратегическото инвестиране  чрез ЕСФ са</w:t>
      </w:r>
      <w:r>
        <w:rPr>
          <w:sz w:val="22"/>
          <w:szCs w:val="22"/>
          <w:lang w:val="bg-BG"/>
        </w:rPr>
        <w:t>:</w:t>
      </w:r>
    </w:p>
    <w:p>
      <w:pPr>
        <w:pStyle w:val="Normal"/>
        <w:numPr>
          <w:ilvl w:val="0"/>
          <w:numId w:val="11"/>
        </w:numPr>
        <w:spacing w:lineRule="auto" w:line="360"/>
        <w:jc w:val="both"/>
        <w:rPr>
          <w:sz w:val="22"/>
          <w:szCs w:val="22"/>
          <w:lang w:val="bg-BG"/>
        </w:rPr>
      </w:pPr>
      <w:r>
        <w:rPr>
          <w:sz w:val="22"/>
          <w:szCs w:val="22"/>
          <w:lang w:val="bg-BG"/>
        </w:rPr>
        <w:t>Повишаване на  адаптивността на работниците, предпирятията и предприемачите към икономическите  промени;</w:t>
      </w:r>
    </w:p>
    <w:p>
      <w:pPr>
        <w:pStyle w:val="Normal"/>
        <w:numPr>
          <w:ilvl w:val="0"/>
          <w:numId w:val="11"/>
        </w:numPr>
        <w:spacing w:lineRule="auto" w:line="360"/>
        <w:jc w:val="both"/>
        <w:rPr>
          <w:sz w:val="22"/>
          <w:szCs w:val="22"/>
          <w:lang w:val="bg-BG"/>
        </w:rPr>
      </w:pPr>
      <w:r>
        <w:rPr>
          <w:sz w:val="22"/>
          <w:szCs w:val="22"/>
          <w:lang w:val="bg-BG"/>
        </w:rPr>
        <w:t>Разширяване на достъпа до заетост и устойчиво включване в трудовия пазар на  търсещите работа;</w:t>
      </w:r>
    </w:p>
    <w:p>
      <w:pPr>
        <w:pStyle w:val="Normal"/>
        <w:numPr>
          <w:ilvl w:val="0"/>
          <w:numId w:val="11"/>
        </w:numPr>
        <w:spacing w:lineRule="auto" w:line="360"/>
        <w:jc w:val="both"/>
        <w:rPr>
          <w:sz w:val="22"/>
          <w:szCs w:val="22"/>
          <w:lang w:val="bg-BG"/>
        </w:rPr>
      </w:pPr>
      <w:r>
        <w:rPr>
          <w:sz w:val="22"/>
          <w:szCs w:val="22"/>
          <w:lang w:val="bg-BG"/>
        </w:rPr>
        <w:t>Подкрепа на социалното включване на хора с увреждания, особено  в сферата на заетостта и предотвратяване на социалната дискриминация;</w:t>
      </w:r>
    </w:p>
    <w:p>
      <w:pPr>
        <w:pStyle w:val="Normal"/>
        <w:numPr>
          <w:ilvl w:val="0"/>
          <w:numId w:val="11"/>
        </w:numPr>
        <w:spacing w:lineRule="auto" w:line="360"/>
        <w:jc w:val="both"/>
        <w:rPr>
          <w:sz w:val="22"/>
          <w:szCs w:val="22"/>
          <w:lang w:val="bg-BG"/>
        </w:rPr>
      </w:pPr>
      <w:r>
        <w:rPr>
          <w:sz w:val="22"/>
          <w:szCs w:val="22"/>
          <w:lang w:val="bg-BG"/>
        </w:rPr>
        <w:t>Укрепване на  човешкия капитал  и насърчаване на  партньорството за реформи в сферата на заетостта и социалното включване;</w:t>
      </w:r>
    </w:p>
    <w:p>
      <w:pPr>
        <w:pStyle w:val="Normal"/>
        <w:numPr>
          <w:ilvl w:val="0"/>
          <w:numId w:val="11"/>
        </w:numPr>
        <w:spacing w:lineRule="auto" w:line="360"/>
        <w:jc w:val="both"/>
        <w:rPr>
          <w:sz w:val="22"/>
          <w:szCs w:val="22"/>
          <w:lang w:val="bg-BG"/>
        </w:rPr>
      </w:pPr>
      <w:r>
        <w:rPr>
          <w:sz w:val="22"/>
          <w:szCs w:val="22"/>
          <w:lang w:val="bg-BG"/>
        </w:rPr>
        <w:t>Насърчаване на партньорство, пактове и мрежи на  социални актьори и граждански организации на транснационално, национално, регионаано и местно равнище /също за подкрепа на реформите  в заетостта и социалното включване/.</w:t>
      </w:r>
    </w:p>
    <w:p>
      <w:pPr>
        <w:pStyle w:val="Normal"/>
        <w:spacing w:lineRule="auto" w:line="360"/>
        <w:ind w:left="360" w:hanging="0"/>
        <w:jc w:val="both"/>
        <w:rPr/>
      </w:pPr>
      <w:r>
        <w:rPr>
          <w:sz w:val="22"/>
          <w:szCs w:val="22"/>
          <w:lang w:val="bg-BG"/>
        </w:rPr>
        <w:tab/>
        <w:t xml:space="preserve">В съответствие с целите са и </w:t>
      </w:r>
      <w:r>
        <w:rPr>
          <w:b/>
          <w:sz w:val="22"/>
          <w:szCs w:val="22"/>
          <w:lang w:val="bg-BG"/>
        </w:rPr>
        <w:t>водещите приоритети</w:t>
      </w:r>
      <w:r>
        <w:rPr>
          <w:sz w:val="22"/>
          <w:szCs w:val="22"/>
          <w:lang w:val="bg-BG"/>
        </w:rPr>
        <w:t xml:space="preserve">: </w:t>
      </w:r>
    </w:p>
    <w:p>
      <w:pPr>
        <w:pStyle w:val="Normal"/>
        <w:spacing w:lineRule="auto" w:line="360"/>
        <w:ind w:left="360" w:hanging="0"/>
        <w:jc w:val="both"/>
        <w:rPr>
          <w:sz w:val="22"/>
          <w:szCs w:val="22"/>
          <w:lang w:val="bg-BG"/>
        </w:rPr>
      </w:pPr>
      <w:r>
        <w:rPr>
          <w:sz w:val="22"/>
          <w:szCs w:val="22"/>
          <w:lang w:val="bg-BG"/>
        </w:rPr>
        <w:t>- разширяване и подобряване на инвестициите в човешкия капитал;</w:t>
      </w:r>
    </w:p>
    <w:p>
      <w:pPr>
        <w:pStyle w:val="Normal"/>
        <w:spacing w:lineRule="auto" w:line="360"/>
        <w:ind w:left="360" w:hanging="0"/>
        <w:jc w:val="both"/>
        <w:rPr>
          <w:sz w:val="22"/>
          <w:szCs w:val="22"/>
          <w:lang w:val="bg-BG"/>
        </w:rPr>
      </w:pPr>
      <w:r>
        <w:rPr>
          <w:sz w:val="22"/>
          <w:szCs w:val="22"/>
          <w:lang w:val="bg-BG"/>
        </w:rPr>
        <w:t xml:space="preserve"> </w:t>
      </w:r>
      <w:r>
        <w:rPr>
          <w:sz w:val="22"/>
          <w:szCs w:val="22"/>
          <w:lang w:val="bg-BG"/>
        </w:rPr>
        <w:t xml:space="preserve">- укрепване на  институционалния капацитет по вертикала  и хоризонтала на европейската, националната и регионалната  административна мрежа; </w:t>
      </w:r>
    </w:p>
    <w:p>
      <w:pPr>
        <w:pStyle w:val="Normal"/>
        <w:spacing w:lineRule="auto" w:line="360"/>
        <w:ind w:left="360" w:hanging="0"/>
        <w:jc w:val="both"/>
        <w:rPr>
          <w:sz w:val="22"/>
          <w:szCs w:val="22"/>
          <w:lang w:val="bg-BG"/>
        </w:rPr>
      </w:pPr>
      <w:r>
        <w:rPr>
          <w:sz w:val="22"/>
          <w:szCs w:val="22"/>
          <w:lang w:val="bg-BG"/>
        </w:rPr>
        <w:t>- изграждане на  капацитет  за предоставяне на  подходящи програми за организациите и общностите, работещи за изпълнението на стратегическите цели.</w:t>
      </w:r>
    </w:p>
    <w:p>
      <w:pPr>
        <w:pStyle w:val="Normal"/>
        <w:spacing w:lineRule="auto" w:line="360"/>
        <w:jc w:val="both"/>
        <w:rPr>
          <w:sz w:val="22"/>
          <w:szCs w:val="22"/>
          <w:lang w:val="bg-BG"/>
        </w:rPr>
      </w:pPr>
      <w:r>
        <w:rPr>
          <w:sz w:val="22"/>
          <w:szCs w:val="22"/>
          <w:lang w:val="bg-BG"/>
        </w:rPr>
      </w:r>
    </w:p>
    <w:p>
      <w:pPr>
        <w:pStyle w:val="Normal"/>
        <w:spacing w:lineRule="auto" w:line="360"/>
        <w:jc w:val="both"/>
        <w:rPr/>
      </w:pPr>
      <w:r>
        <w:rPr>
          <w:sz w:val="22"/>
          <w:szCs w:val="22"/>
          <w:lang w:val="bg-BG"/>
        </w:rPr>
        <w:tab/>
        <w:t xml:space="preserve">Важна особеност е, че </w:t>
      </w:r>
      <w:r>
        <w:rPr>
          <w:b/>
          <w:sz w:val="22"/>
          <w:szCs w:val="22"/>
          <w:lang w:val="bg-BG"/>
        </w:rPr>
        <w:t>ЕСФ  предлага  подкрепа за Оперативните  програми, рразработени</w:t>
      </w:r>
      <w:r>
        <w:rPr>
          <w:sz w:val="22"/>
          <w:szCs w:val="22"/>
          <w:lang w:val="bg-BG"/>
        </w:rPr>
        <w:t xml:space="preserve"> от страните-членки на национално и регионално равнище. Фондът е и основен  инструмент за постигане  на  количествените цели на  Европейската стратегия за заетост, приета  в Люксембург през 1995 г.</w:t>
      </w:r>
    </w:p>
    <w:p>
      <w:pPr>
        <w:pStyle w:val="Normal"/>
        <w:spacing w:lineRule="auto" w:line="360"/>
        <w:jc w:val="both"/>
        <w:rPr>
          <w:sz w:val="22"/>
          <w:szCs w:val="22"/>
          <w:lang w:val="bg-BG"/>
        </w:rPr>
      </w:pPr>
      <w:r>
        <w:rPr>
          <w:sz w:val="22"/>
          <w:szCs w:val="22"/>
          <w:lang w:val="bg-BG"/>
        </w:rPr>
        <w:tab/>
        <w:t>Количествени параметри на  Европейската стратегия за заетост /цели за достигане през 2010 г./</w:t>
      </w:r>
    </w:p>
    <w:p>
      <w:pPr>
        <w:pStyle w:val="Normal"/>
        <w:numPr>
          <w:ilvl w:val="0"/>
          <w:numId w:val="5"/>
        </w:numPr>
        <w:spacing w:lineRule="auto" w:line="360"/>
        <w:jc w:val="both"/>
        <w:rPr>
          <w:sz w:val="22"/>
          <w:szCs w:val="22"/>
          <w:lang w:val="bg-BG"/>
        </w:rPr>
      </w:pPr>
      <w:r>
        <w:rPr>
          <w:sz w:val="22"/>
          <w:szCs w:val="22"/>
          <w:lang w:val="bg-BG"/>
        </w:rPr>
        <w:t>Търсещите работа в целия ЕС да могат за се консултират за всички свободни работни места, обявени от държавите-членки на общността;</w:t>
      </w:r>
    </w:p>
    <w:p>
      <w:pPr>
        <w:pStyle w:val="Normal"/>
        <w:numPr>
          <w:ilvl w:val="0"/>
          <w:numId w:val="5"/>
        </w:numPr>
        <w:spacing w:lineRule="auto" w:line="360"/>
        <w:jc w:val="both"/>
        <w:rPr>
          <w:sz w:val="22"/>
          <w:szCs w:val="22"/>
          <w:lang w:val="bg-BG"/>
        </w:rPr>
      </w:pPr>
      <w:r>
        <w:rPr>
          <w:sz w:val="22"/>
          <w:szCs w:val="22"/>
          <w:lang w:val="bg-BG"/>
        </w:rPr>
        <w:t>Увеличение с 5 г.  /за ЕС/ на  ефективната средна възраст  за излизане от  пазара на труда /сравнение със средната  възраст от 59,9 г. през 2001 г./</w:t>
      </w:r>
    </w:p>
    <w:p>
      <w:pPr>
        <w:pStyle w:val="Normal"/>
        <w:numPr>
          <w:ilvl w:val="0"/>
          <w:numId w:val="5"/>
        </w:numPr>
        <w:spacing w:lineRule="auto" w:line="360"/>
        <w:jc w:val="both"/>
        <w:rPr>
          <w:sz w:val="22"/>
          <w:szCs w:val="22"/>
          <w:lang w:val="bg-BG"/>
        </w:rPr>
      </w:pPr>
      <w:r>
        <w:rPr>
          <w:sz w:val="22"/>
          <w:szCs w:val="22"/>
          <w:lang w:val="bg-BG"/>
        </w:rPr>
        <w:t>Предоставяне на грижи най-малко  за 90% от децата на възраст  между  три години и задължителната  училищна възраст, както и на най-малко 33% от децата  под 3 г. възраст;</w:t>
      </w:r>
    </w:p>
    <w:p>
      <w:pPr>
        <w:pStyle w:val="Normal"/>
        <w:numPr>
          <w:ilvl w:val="0"/>
          <w:numId w:val="5"/>
        </w:numPr>
        <w:spacing w:lineRule="auto" w:line="360"/>
        <w:jc w:val="both"/>
        <w:rPr>
          <w:sz w:val="22"/>
          <w:szCs w:val="22"/>
          <w:lang w:val="bg-BG"/>
        </w:rPr>
      </w:pPr>
      <w:r>
        <w:rPr>
          <w:sz w:val="22"/>
          <w:szCs w:val="22"/>
          <w:lang w:val="bg-BG"/>
        </w:rPr>
        <w:t>Средно  за ЕС – не повече от 10% напускащи училище деца;</w:t>
      </w:r>
    </w:p>
    <w:p>
      <w:pPr>
        <w:pStyle w:val="Normal"/>
        <w:numPr>
          <w:ilvl w:val="0"/>
          <w:numId w:val="5"/>
        </w:numPr>
        <w:spacing w:lineRule="auto" w:line="360"/>
        <w:jc w:val="both"/>
        <w:rPr>
          <w:sz w:val="22"/>
          <w:szCs w:val="22"/>
          <w:lang w:val="bg-BG"/>
        </w:rPr>
      </w:pPr>
      <w:r>
        <w:rPr>
          <w:sz w:val="22"/>
          <w:szCs w:val="22"/>
          <w:lang w:val="bg-BG"/>
        </w:rPr>
        <w:t>Най-малко 85% от младежите до 22 г. възраст да имат  завършено средно образование;</w:t>
      </w:r>
    </w:p>
    <w:p>
      <w:pPr>
        <w:pStyle w:val="Normal"/>
        <w:numPr>
          <w:ilvl w:val="0"/>
          <w:numId w:val="5"/>
        </w:numPr>
        <w:spacing w:lineRule="auto" w:line="360"/>
        <w:jc w:val="both"/>
        <w:rPr>
          <w:sz w:val="22"/>
          <w:szCs w:val="22"/>
          <w:lang w:val="bg-BG"/>
        </w:rPr>
      </w:pPr>
      <w:r>
        <w:rPr>
          <w:sz w:val="22"/>
          <w:szCs w:val="22"/>
          <w:lang w:val="bg-BG"/>
        </w:rPr>
        <w:t>Европейското равнище на участие в учене  през целия живот да достигне най-малко 12,5% от възрастното население /25-64 г./.</w:t>
      </w:r>
    </w:p>
    <w:p>
      <w:pPr>
        <w:pStyle w:val="Normal"/>
        <w:spacing w:lineRule="auto" w:line="360"/>
        <w:ind w:left="360" w:hanging="0"/>
        <w:jc w:val="both"/>
        <w:rPr/>
      </w:pPr>
      <w:r>
        <w:rPr>
          <w:sz w:val="22"/>
          <w:szCs w:val="22"/>
          <w:lang w:val="bg-BG"/>
        </w:rPr>
        <w:tab/>
        <w:t xml:space="preserve">Както се вижда </w:t>
      </w:r>
      <w:r>
        <w:rPr>
          <w:b/>
          <w:sz w:val="22"/>
          <w:szCs w:val="22"/>
          <w:lang w:val="bg-BG"/>
        </w:rPr>
        <w:t>европейските фондове се преориентират към новите  предизвикателства и фокусират  своите цели и инструменти  върху регионални, социални и пазарно провокирани последици, главно  в новите  членове от Източна Европа</w:t>
      </w:r>
      <w:r>
        <w:rPr>
          <w:sz w:val="22"/>
          <w:szCs w:val="22"/>
          <w:lang w:val="bg-BG"/>
        </w:rPr>
        <w:t>. Но базисното  им значение, да насърчават и задълбочават ингерацията, се запазва.</w:t>
      </w:r>
    </w:p>
    <w:p>
      <w:pPr>
        <w:pStyle w:val="Normal"/>
        <w:spacing w:lineRule="auto" w:line="360"/>
        <w:jc w:val="both"/>
        <w:rPr>
          <w:sz w:val="22"/>
          <w:szCs w:val="22"/>
          <w:lang w:val="bg-BG"/>
        </w:rPr>
      </w:pPr>
      <w:r>
        <w:rPr>
          <w:sz w:val="22"/>
          <w:szCs w:val="22"/>
          <w:lang w:val="bg-BG"/>
        </w:rPr>
      </w:r>
    </w:p>
    <w:p>
      <w:pPr>
        <w:pStyle w:val="Normal"/>
        <w:spacing w:lineRule="auto" w:line="360"/>
        <w:jc w:val="both"/>
        <w:rPr>
          <w:sz w:val="22"/>
          <w:szCs w:val="22"/>
          <w:lang w:val="bg-BG"/>
        </w:rPr>
      </w:pPr>
      <w:r>
        <w:rPr>
          <w:sz w:val="22"/>
          <w:szCs w:val="22"/>
          <w:lang w:val="bg-BG"/>
        </w:rPr>
      </w:r>
    </w:p>
    <w:p>
      <w:pPr>
        <w:pStyle w:val="Normal"/>
        <w:spacing w:lineRule="auto" w:line="360"/>
        <w:jc w:val="both"/>
        <w:rPr>
          <w:b/>
          <w:b/>
          <w:sz w:val="22"/>
          <w:szCs w:val="22"/>
          <w:lang w:val="bg-BG"/>
        </w:rPr>
      </w:pPr>
      <w:r>
        <w:rPr>
          <w:b/>
          <w:sz w:val="22"/>
          <w:szCs w:val="22"/>
          <w:lang w:val="bg-BG"/>
        </w:rPr>
        <w:t>Бъдещето на  ЕСМ: национални вариации и гранични зони</w:t>
      </w:r>
    </w:p>
    <w:p>
      <w:pPr>
        <w:pStyle w:val="Normal"/>
        <w:spacing w:lineRule="auto" w:line="360"/>
        <w:jc w:val="both"/>
        <w:rPr>
          <w:b/>
          <w:b/>
          <w:sz w:val="22"/>
          <w:szCs w:val="22"/>
          <w:lang w:val="bg-BG"/>
        </w:rPr>
      </w:pPr>
      <w:r>
        <w:rPr>
          <w:b/>
          <w:sz w:val="22"/>
          <w:szCs w:val="22"/>
          <w:lang w:val="bg-BG"/>
        </w:rPr>
      </w:r>
    </w:p>
    <w:p>
      <w:pPr>
        <w:pStyle w:val="Normal"/>
        <w:spacing w:lineRule="auto" w:line="360"/>
        <w:jc w:val="both"/>
        <w:rPr/>
      </w:pPr>
      <w:r>
        <w:rPr>
          <w:sz w:val="22"/>
          <w:szCs w:val="22"/>
          <w:lang w:val="bg-BG"/>
        </w:rPr>
        <w:tab/>
        <w:t xml:space="preserve">Нека обърнем поглед към </w:t>
      </w:r>
      <w:r>
        <w:rPr>
          <w:b/>
          <w:sz w:val="22"/>
          <w:szCs w:val="22"/>
          <w:lang w:val="bg-BG"/>
        </w:rPr>
        <w:t>критичните анализи на ЕСМ</w:t>
      </w:r>
      <w:r>
        <w:rPr>
          <w:sz w:val="22"/>
          <w:szCs w:val="22"/>
          <w:lang w:val="bg-BG"/>
        </w:rPr>
        <w:t>. Ако поставим временно встрани твърдите му противници,  вероятно най-полезна за теорията и практиката на сравнителната  СП ще се окаже концепцията  за полицентричния характер на европейското социално пространство.</w:t>
      </w:r>
    </w:p>
    <w:p>
      <w:pPr>
        <w:pStyle w:val="Normal"/>
        <w:spacing w:lineRule="auto" w:line="360"/>
        <w:ind w:firstLine="360"/>
        <w:jc w:val="both"/>
        <w:rPr/>
      </w:pPr>
      <w:r>
        <w:rPr>
          <w:b/>
          <w:sz w:val="22"/>
          <w:szCs w:val="22"/>
          <w:lang w:val="bg-BG"/>
        </w:rPr>
        <w:t xml:space="preserve">След  втората половина на  70-те години  на ХХ в. „държавата на благоденствието” загубва господстващата  си позиция в държавното  устройство на  западноевропейските  страни, </w:t>
      </w:r>
      <w:r>
        <w:rPr>
          <w:sz w:val="22"/>
          <w:szCs w:val="22"/>
          <w:lang w:val="bg-BG"/>
        </w:rPr>
        <w:t xml:space="preserve">провокирано от сериозни  промени, които  настъпват  и в институционалната конструкция на  ЕС – европейския социален модел. </w:t>
      </w:r>
    </w:p>
    <w:p>
      <w:pPr>
        <w:pStyle w:val="Normal"/>
        <w:spacing w:lineRule="auto" w:line="360"/>
        <w:ind w:firstLine="360"/>
        <w:jc w:val="both"/>
        <w:rPr/>
      </w:pPr>
      <w:r>
        <w:rPr>
          <w:b/>
          <w:sz w:val="22"/>
          <w:szCs w:val="22"/>
          <w:lang w:val="bg-BG"/>
        </w:rPr>
        <w:t>През първата половина на  90-те г. на ХХ</w:t>
      </w:r>
      <w:r>
        <w:rPr>
          <w:sz w:val="22"/>
          <w:szCs w:val="22"/>
          <w:lang w:val="bg-BG"/>
        </w:rPr>
        <w:t xml:space="preserve"> в. се лансира тезата за създаване на </w:t>
      </w:r>
      <w:r>
        <w:rPr>
          <w:b/>
          <w:sz w:val="22"/>
          <w:szCs w:val="22"/>
          <w:lang w:val="bg-BG"/>
        </w:rPr>
        <w:t>европейско социално  пространство</w:t>
      </w:r>
      <w:r>
        <w:rPr>
          <w:sz w:val="22"/>
          <w:szCs w:val="22"/>
          <w:lang w:val="bg-BG"/>
        </w:rPr>
        <w:t xml:space="preserve">, като първа крачка към обособяване на сектор на  координирана СП в ЕС. </w:t>
      </w:r>
    </w:p>
    <w:p>
      <w:pPr>
        <w:pStyle w:val="Normal"/>
        <w:spacing w:lineRule="auto" w:line="360"/>
        <w:ind w:firstLine="360"/>
        <w:jc w:val="both"/>
        <w:rPr/>
      </w:pPr>
      <w:r>
        <w:rPr>
          <w:b/>
          <w:sz w:val="22"/>
          <w:szCs w:val="22"/>
          <w:lang w:val="bg-BG"/>
        </w:rPr>
        <w:t xml:space="preserve">През втората половина на 90-те г. на ХХ в. </w:t>
      </w:r>
      <w:r>
        <w:rPr>
          <w:sz w:val="22"/>
          <w:szCs w:val="22"/>
          <w:lang w:val="bg-BG"/>
        </w:rPr>
        <w:t xml:space="preserve">с подписването на  Амстердамския договор </w:t>
      </w:r>
      <w:r>
        <w:rPr>
          <w:b/>
          <w:sz w:val="22"/>
          <w:szCs w:val="22"/>
          <w:lang w:val="bg-BG"/>
        </w:rPr>
        <w:t>СП на ЕС се превръща в приоритет на европейската интеграция.</w:t>
      </w:r>
      <w:r>
        <w:rPr>
          <w:sz w:val="22"/>
          <w:szCs w:val="22"/>
          <w:lang w:val="bg-BG"/>
        </w:rPr>
        <w:t xml:space="preserve">  Водещи за общността стават проблемите на  заетостта,  социалното включване, антидискриминационните  мерки. </w:t>
      </w:r>
    </w:p>
    <w:p>
      <w:pPr>
        <w:pStyle w:val="Normal"/>
        <w:spacing w:lineRule="auto" w:line="360"/>
        <w:ind w:firstLine="360"/>
        <w:jc w:val="both"/>
        <w:rPr/>
      </w:pPr>
      <w:r>
        <w:rPr>
          <w:sz w:val="22"/>
          <w:szCs w:val="22"/>
          <w:lang w:val="bg-BG"/>
        </w:rPr>
        <w:t xml:space="preserve">Европейският социален модел навлиза в  качествено нова  фаза </w:t>
      </w:r>
      <w:r>
        <w:rPr>
          <w:b/>
          <w:sz w:val="22"/>
          <w:szCs w:val="22"/>
          <w:lang w:val="bg-BG"/>
        </w:rPr>
        <w:t>след 2004 и 2007 г.,</w:t>
      </w:r>
      <w:r>
        <w:rPr>
          <w:sz w:val="22"/>
          <w:szCs w:val="22"/>
          <w:lang w:val="bg-BG"/>
        </w:rPr>
        <w:t xml:space="preserve"> когато се извършва най-голямото разширяване на съюза. </w:t>
      </w:r>
    </w:p>
    <w:p>
      <w:pPr>
        <w:pStyle w:val="Normal"/>
        <w:spacing w:lineRule="auto" w:line="360"/>
        <w:ind w:firstLine="360"/>
        <w:jc w:val="both"/>
        <w:rPr/>
      </w:pPr>
      <w:r>
        <w:rPr>
          <w:b/>
          <w:sz w:val="22"/>
          <w:szCs w:val="22"/>
          <w:lang w:val="bg-BG"/>
        </w:rPr>
        <w:t>Европейският социален проект се изправя пред двойно предизвикателство</w:t>
      </w:r>
      <w:r>
        <w:rPr>
          <w:sz w:val="22"/>
          <w:szCs w:val="22"/>
          <w:lang w:val="bg-BG"/>
        </w:rPr>
        <w:t xml:space="preserve"> – да  задълбочава социалната интеграция в общността и да вгражда в този процес  преходните /хибридните социални системи на голяма  група нови държави, развивали се с десетилетия по непазарна, държавно маркирана траектория. </w:t>
      </w:r>
    </w:p>
    <w:p>
      <w:pPr>
        <w:pStyle w:val="Normal"/>
        <w:spacing w:lineRule="auto" w:line="360"/>
        <w:ind w:firstLine="360"/>
        <w:jc w:val="both"/>
        <w:rPr/>
      </w:pPr>
      <w:r>
        <w:rPr>
          <w:sz w:val="22"/>
          <w:szCs w:val="22"/>
          <w:lang w:val="bg-BG"/>
        </w:rPr>
        <w:t xml:space="preserve">Посочените промени </w:t>
      </w:r>
      <w:r>
        <w:rPr>
          <w:b/>
          <w:sz w:val="22"/>
          <w:szCs w:val="22"/>
          <w:lang w:val="bg-BG"/>
        </w:rPr>
        <w:t>превръщат европейския  социален модел</w:t>
      </w:r>
    </w:p>
    <w:p>
      <w:pPr>
        <w:pStyle w:val="Normal"/>
        <w:spacing w:lineRule="auto" w:line="360"/>
        <w:ind w:firstLine="360"/>
        <w:jc w:val="both"/>
        <w:rPr/>
      </w:pPr>
      <w:r>
        <w:rPr>
          <w:b/>
          <w:sz w:val="22"/>
          <w:szCs w:val="22"/>
          <w:lang w:val="bg-BG"/>
        </w:rPr>
        <w:t xml:space="preserve">-  </w:t>
      </w:r>
      <w:r>
        <w:rPr>
          <w:sz w:val="22"/>
          <w:szCs w:val="22"/>
          <w:lang w:val="bg-BG"/>
        </w:rPr>
        <w:t xml:space="preserve">от модел на солидарност и социална кохезия, споделящ ценностите на равенството, справедливостта и основните граждански права, </w:t>
      </w:r>
    </w:p>
    <w:p>
      <w:pPr>
        <w:pStyle w:val="Normal"/>
        <w:spacing w:lineRule="auto" w:line="360"/>
        <w:ind w:firstLine="360"/>
        <w:jc w:val="both"/>
        <w:rPr/>
      </w:pPr>
      <w:r>
        <w:rPr>
          <w:sz w:val="22"/>
          <w:szCs w:val="22"/>
          <w:lang w:val="bg-BG"/>
        </w:rPr>
        <w:t xml:space="preserve">- в модел,  който постепенно въвежда принципа на </w:t>
      </w:r>
      <w:r>
        <w:rPr>
          <w:b/>
          <w:sz w:val="22"/>
          <w:szCs w:val="22"/>
          <w:lang w:val="bg-BG"/>
        </w:rPr>
        <w:t>„разделната отговорност” –</w:t>
      </w:r>
      <w:r>
        <w:rPr>
          <w:sz w:val="22"/>
          <w:szCs w:val="22"/>
          <w:lang w:val="bg-BG"/>
        </w:rPr>
        <w:t xml:space="preserve"> съчетава  солидарността между поколенията и самоотговорността на всеки  човек. </w:t>
      </w:r>
    </w:p>
    <w:p>
      <w:pPr>
        <w:pStyle w:val="Normal"/>
        <w:spacing w:lineRule="auto" w:line="360"/>
        <w:ind w:firstLine="360"/>
        <w:jc w:val="both"/>
        <w:rPr/>
      </w:pPr>
      <w:r>
        <w:rPr>
          <w:sz w:val="22"/>
          <w:szCs w:val="22"/>
          <w:lang w:val="bg-BG"/>
        </w:rPr>
        <w:t xml:space="preserve">Осъществява се </w:t>
      </w:r>
      <w:r>
        <w:rPr>
          <w:b/>
          <w:sz w:val="22"/>
          <w:szCs w:val="22"/>
          <w:lang w:val="bg-BG"/>
        </w:rPr>
        <w:t>постепенен преход от силно  централизиарна държавна СП към децентрализирана /засилване  на социалните  функции на общините, на бизнеса, на  НПО и намаляване  на тези на държавата/.</w:t>
      </w:r>
      <w:r>
        <w:rPr>
          <w:sz w:val="22"/>
          <w:szCs w:val="22"/>
          <w:lang w:val="bg-BG"/>
        </w:rPr>
        <w:t xml:space="preserve"> </w:t>
      </w:r>
    </w:p>
    <w:p>
      <w:pPr>
        <w:pStyle w:val="Normal"/>
        <w:spacing w:lineRule="auto" w:line="360"/>
        <w:ind w:firstLine="360"/>
        <w:jc w:val="both"/>
        <w:rPr/>
      </w:pPr>
      <w:r>
        <w:rPr>
          <w:sz w:val="22"/>
          <w:szCs w:val="22"/>
          <w:lang w:val="bg-BG"/>
        </w:rPr>
        <w:tab/>
        <w:t xml:space="preserve">Европейският социален модел все повече  се променя в посока  към </w:t>
      </w:r>
      <w:r>
        <w:rPr>
          <w:b/>
          <w:sz w:val="22"/>
          <w:szCs w:val="22"/>
          <w:lang w:val="bg-BG"/>
        </w:rPr>
        <w:t>съчетаване на социалдемократичния и неолибералния /консервативен/</w:t>
      </w:r>
      <w:r>
        <w:rPr>
          <w:sz w:val="22"/>
          <w:szCs w:val="22"/>
          <w:lang w:val="bg-BG"/>
        </w:rPr>
        <w:t xml:space="preserve"> принцип на развитие, което дава основание на някои автори да  го определят </w:t>
      </w:r>
      <w:r>
        <w:rPr>
          <w:b/>
          <w:sz w:val="22"/>
          <w:szCs w:val="22"/>
          <w:lang w:val="bg-BG"/>
        </w:rPr>
        <w:t>като смесен модел или социално-либерален.</w:t>
      </w:r>
    </w:p>
    <w:p>
      <w:pPr>
        <w:pStyle w:val="Normal"/>
        <w:spacing w:lineRule="auto" w:line="360"/>
        <w:ind w:firstLine="360"/>
        <w:jc w:val="both"/>
        <w:rPr/>
      </w:pPr>
      <w:r>
        <w:rPr>
          <w:b/>
          <w:sz w:val="22"/>
          <w:szCs w:val="22"/>
          <w:lang w:val="bg-BG"/>
        </w:rPr>
        <w:t>В съвременните общества</w:t>
      </w:r>
      <w:r>
        <w:rPr>
          <w:sz w:val="22"/>
          <w:szCs w:val="22"/>
          <w:lang w:val="bg-BG"/>
        </w:rPr>
        <w:t xml:space="preserve">, в резултат на нарастващата несигурност, СП  се превръща във все по-важен  елемент  в общата политика на държавите – променя се  схващането за връзката  между бедност, неравенства, растеж и власт. Основното направление на политиката  за постигане на устойчиво развитие е  </w:t>
      </w:r>
      <w:r>
        <w:rPr>
          <w:b/>
          <w:sz w:val="22"/>
          <w:szCs w:val="22"/>
          <w:lang w:val="bg-BG"/>
        </w:rPr>
        <w:t>не  увеличаването на икономическия растеж, за да се  намали  бедността, а обратното  - намаляване на бедността /на неизползвания ресурс на бедните/, за да се  увеличи растежът  на икономиката.</w:t>
      </w:r>
      <w:r>
        <w:rPr>
          <w:sz w:val="22"/>
          <w:szCs w:val="22"/>
          <w:lang w:val="bg-BG"/>
        </w:rPr>
        <w:t xml:space="preserve"> А икономиката е социално явление и тъкмо  СП е тази, която я прави  такава /К.Полани/. </w:t>
      </w:r>
    </w:p>
    <w:p>
      <w:pPr>
        <w:pStyle w:val="Normal"/>
        <w:spacing w:lineRule="auto" w:line="360"/>
        <w:ind w:firstLine="360"/>
        <w:jc w:val="both"/>
        <w:rPr>
          <w:sz w:val="22"/>
          <w:szCs w:val="22"/>
          <w:lang w:val="bg-BG"/>
        </w:rPr>
      </w:pPr>
      <w:r>
        <w:rPr>
          <w:sz w:val="22"/>
          <w:szCs w:val="22"/>
          <w:lang w:val="bg-BG"/>
        </w:rPr>
      </w:r>
    </w:p>
    <w:p>
      <w:pPr>
        <w:pStyle w:val="Normal"/>
        <w:spacing w:lineRule="auto" w:line="360"/>
        <w:ind w:firstLine="720"/>
        <w:jc w:val="both"/>
        <w:rPr>
          <w:sz w:val="22"/>
          <w:szCs w:val="22"/>
          <w:lang w:val="bg-BG"/>
        </w:rPr>
      </w:pPr>
      <w:r>
        <w:rPr>
          <w:sz w:val="22"/>
          <w:szCs w:val="22"/>
          <w:lang w:val="bg-BG"/>
        </w:rPr>
      </w:r>
    </w:p>
    <w:p>
      <w:pPr>
        <w:pStyle w:val="Normal"/>
        <w:spacing w:lineRule="auto" w:line="360"/>
        <w:ind w:firstLine="720"/>
        <w:jc w:val="both"/>
        <w:rPr>
          <w:sz w:val="22"/>
          <w:szCs w:val="22"/>
          <w:lang w:val="ru-RU"/>
        </w:rPr>
      </w:pPr>
      <w:r>
        <w:rPr>
          <w:sz w:val="22"/>
          <w:szCs w:val="22"/>
          <w:lang w:val="ru-RU"/>
        </w:rPr>
      </w:r>
    </w:p>
    <w:p>
      <w:pPr>
        <w:pStyle w:val="Normal"/>
        <w:spacing w:lineRule="auto" w:line="360"/>
        <w:ind w:firstLine="720"/>
        <w:jc w:val="both"/>
        <w:rPr>
          <w:b/>
          <w:b/>
          <w:sz w:val="22"/>
          <w:szCs w:val="22"/>
          <w:lang w:val="ru-RU"/>
        </w:rPr>
      </w:pPr>
      <w:r>
        <w:rPr>
          <w:b/>
          <w:sz w:val="22"/>
          <w:szCs w:val="22"/>
          <w:lang w:val="ru-RU"/>
        </w:rPr>
      </w:r>
    </w:p>
    <w:p>
      <w:pPr>
        <w:pStyle w:val="Normal"/>
        <w:spacing w:lineRule="auto" w:line="360"/>
        <w:ind w:firstLine="720"/>
        <w:jc w:val="both"/>
        <w:rPr>
          <w:b/>
          <w:b/>
          <w:sz w:val="22"/>
          <w:szCs w:val="22"/>
          <w:lang w:val="ru-RU"/>
        </w:rPr>
      </w:pPr>
      <w:r>
        <w:rPr>
          <w:b/>
          <w:sz w:val="22"/>
          <w:szCs w:val="22"/>
          <w:lang w:val="ru-RU"/>
        </w:rPr>
      </w:r>
    </w:p>
    <w:p>
      <w:pPr>
        <w:pStyle w:val="Normal"/>
        <w:rPr>
          <w:sz w:val="22"/>
          <w:szCs w:val="22"/>
          <w:lang w:val="ru-RU"/>
        </w:rPr>
      </w:pPr>
      <w:r>
        <w:rPr>
          <w:sz w:val="22"/>
          <w:szCs w:val="22"/>
          <w:lang w:val="ru-RU"/>
        </w:rPr>
      </w:r>
    </w:p>
    <w:p>
      <w:pPr>
        <w:pStyle w:val="Normal"/>
        <w:ind w:left="360" w:firstLine="360"/>
        <w:jc w:val="both"/>
        <w:rPr>
          <w:sz w:val="22"/>
          <w:szCs w:val="22"/>
          <w:lang w:val="ru-RU"/>
        </w:rPr>
      </w:pPr>
      <w:r>
        <w:rPr>
          <w:sz w:val="22"/>
          <w:szCs w:val="22"/>
          <w:lang w:val="ru-RU"/>
        </w:rPr>
      </w:r>
    </w:p>
    <w:p>
      <w:pPr>
        <w:pStyle w:val="Normal"/>
        <w:rPr>
          <w:sz w:val="22"/>
          <w:szCs w:val="22"/>
          <w:lang w:val="bg-BG"/>
        </w:rPr>
      </w:pPr>
      <w:r>
        <w:rPr>
          <w:sz w:val="22"/>
          <w:szCs w:val="22"/>
          <w:lang w:val="bg-BG"/>
        </w:rPr>
      </w:r>
    </w:p>
    <w:p>
      <w:pPr>
        <w:pStyle w:val="Normal"/>
        <w:rPr>
          <w:sz w:val="22"/>
          <w:szCs w:val="22"/>
          <w:lang w:val="ru-RU"/>
        </w:rPr>
      </w:pPr>
      <w:r>
        <w:rPr>
          <w:sz w:val="22"/>
          <w:szCs w:val="22"/>
          <w:lang w:val="ru-RU"/>
        </w:rPr>
      </w:r>
    </w:p>
    <w:sectPr>
      <w:footerReference w:type="default" r:id="rId2"/>
      <w:type w:val="nextPage"/>
      <w:pgSz w:w="11906" w:h="16838"/>
      <w:pgMar w:left="1417" w:right="1417" w:header="0" w:top="1417" w:footer="708" w:bottom="1417"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cc"/>
    <w:family w:val="roman"/>
    <w:pitch w:val="variable"/>
  </w:font>
  <w:font w:name="Liberation Sans">
    <w:altName w:val="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ind w:right="360" w:hanging="0"/>
      <w:rPr/>
    </w:pPr>
    <w:r>
      <w:rPr/>
    </w:r>
    <w:r>
      <mc:AlternateContent>
        <mc:Choice Requires="wps">
          <w:drawing>
            <wp:anchor behindDoc="0" distT="0" distB="0" distL="0" distR="0" simplePos="0" locked="0" layoutInCell="1" allowOverlap="1" relativeHeight="29">
              <wp:simplePos x="0" y="0"/>
              <wp:positionH relativeFrom="margin">
                <wp:align>right</wp:align>
              </wp:positionH>
              <wp:positionV relativeFrom="paragraph">
                <wp:posOffset>635</wp:posOffset>
              </wp:positionV>
              <wp:extent cx="153035" cy="175260"/>
              <wp:effectExtent l="0" t="0" r="0" b="0"/>
              <wp:wrapSquare wrapText="largest"/>
              <wp:docPr id="1" name="Frame1"/>
              <a:graphic xmlns:a="http://schemas.openxmlformats.org/drawingml/2006/main">
                <a:graphicData uri="http://schemas.microsoft.com/office/word/2010/wordprocessingShape">
                  <wps:wsp>
                    <wps:cNvSpPr txBox="1"/>
                    <wps:spPr>
                      <a:xfrm>
                        <a:off x="0" y="0"/>
                        <a:ext cx="153035" cy="175260"/>
                      </a:xfrm>
                      <a:prstGeom prst="rect"/>
                      <a:solidFill>
                        <a:srgbClr val="FFFFFF">
                          <a:alpha val="0"/>
                        </a:srgbClr>
                      </a:solidFill>
                    </wps:spPr>
                    <wps:txbx>
                      <w:txbxContent>
                        <w:p>
                          <w:pPr>
                            <w:pStyle w:val="Footer"/>
                            <w:rPr>
                              <w:rStyle w:val="PageNumber"/>
                            </w:rPr>
                          </w:pPr>
                          <w:r>
                            <w:rPr>
                              <w:rStyle w:val="PageNumber"/>
                            </w:rPr>
                            <w:fldChar w:fldCharType="begin"/>
                          </w:r>
                          <w:r>
                            <w:instrText> PAGE </w:instrText>
                          </w:r>
                          <w:r>
                            <w:fldChar w:fldCharType="separate"/>
                          </w:r>
                          <w:r>
                            <w:t>28</w:t>
                          </w:r>
                          <w:r>
                            <w:fldChar w:fldCharType="end"/>
                          </w:r>
                        </w:p>
                      </w:txbxContent>
                    </wps:txbx>
                    <wps:bodyPr anchor="t">
                      <a:noAutofit/>
                    </wps:bodyPr>
                  </wps:wsp>
                </a:graphicData>
              </a:graphic>
            </wp:anchor>
          </w:drawing>
        </mc:Choice>
        <mc:Fallback>
          <w:pict>
            <v:rect fillcolor="#FFFFFF" style="position:absolute;rotation:0;width:12.05pt;height:13.8pt;margin-top:0.05pt;mso-position-vertical-relative:text;margin-left:441.55pt;mso-position-horizontal:right;mso-position-horizontal-relative:margin">
              <v:fill opacity="0f"/>
              <v:textbox>
                <w:txbxContent>
                  <w:p>
                    <w:pPr>
                      <w:pStyle w:val="Footer"/>
                      <w:rPr>
                        <w:rStyle w:val="PageNumber"/>
                      </w:rPr>
                    </w:pPr>
                    <w:r>
                      <w:rPr>
                        <w:rStyle w:val="PageNumber"/>
                      </w:rPr>
                      <w:fldChar w:fldCharType="begin"/>
                    </w:r>
                    <w:r>
                      <w:instrText> PAGE </w:instrText>
                    </w:r>
                    <w:r>
                      <w:fldChar w:fldCharType="separate"/>
                    </w:r>
                    <w:r>
                      <w:t>28</w:t>
                    </w:r>
                    <w:r>
                      <w:fldChar w:fldCharType="end"/>
                    </w:r>
                  </w:p>
                </w:txbxContent>
              </v:textbox>
              <w10:wrap type="square" side="largest"/>
            </v:rect>
          </w:pict>
        </mc:Fallback>
      </mc:AlternateContent>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720"/>
        </w:tabs>
        <w:ind w:left="720" w:hanging="360"/>
      </w:pPr>
      <w:rPr>
        <w:sz w:val="22"/>
        <w:szCs w:val="22"/>
        <w:lang w:val="bg-BG"/>
      </w:rPr>
    </w:lvl>
  </w:abstractNum>
  <w:abstractNum w:abstractNumId="2">
    <w:lvl w:ilvl="0">
      <w:start w:val="1"/>
      <w:numFmt w:val="decimal"/>
      <w:lvlText w:val="%1."/>
      <w:lvlJc w:val="left"/>
      <w:pPr>
        <w:tabs>
          <w:tab w:val="num" w:pos="720"/>
        </w:tabs>
        <w:ind w:left="720" w:hanging="360"/>
      </w:pPr>
      <w:rPr/>
    </w:lvl>
  </w:abstractNum>
  <w:abstractNum w:abstractNumId="3">
    <w:lvl w:ilvl="0">
      <w:start w:val="1"/>
      <w:numFmt w:val="decimal"/>
      <w:lvlText w:val="%1."/>
      <w:lvlJc w:val="left"/>
      <w:pPr>
        <w:tabs>
          <w:tab w:val="num" w:pos="435"/>
        </w:tabs>
        <w:ind w:left="435" w:hanging="360"/>
      </w:pPr>
      <w:rPr/>
    </w:lvl>
    <w:lvl w:ilvl="1">
      <w:start w:val="0"/>
      <w:numFmt w:val="none"/>
      <w:suff w:val="nothing"/>
      <w:lvlText w:val=""/>
      <w:lvlJc w:val="left"/>
      <w:pPr>
        <w:tabs>
          <w:tab w:val="num" w:pos="360"/>
        </w:tabs>
        <w:ind w:left="0" w:hanging="0"/>
      </w:pPr>
      <w:rPr/>
    </w:lvl>
    <w:lvl w:ilvl="2">
      <w:start w:val="0"/>
      <w:numFmt w:val="none"/>
      <w:suff w:val="nothing"/>
      <w:lvlText w:val=""/>
      <w:lvlJc w:val="left"/>
      <w:pPr>
        <w:tabs>
          <w:tab w:val="num" w:pos="360"/>
        </w:tabs>
        <w:ind w:left="0" w:hanging="0"/>
      </w:pPr>
      <w:rPr/>
    </w:lvl>
    <w:lvl w:ilvl="3">
      <w:start w:val="0"/>
      <w:numFmt w:val="none"/>
      <w:suff w:val="nothing"/>
      <w:lvlText w:val=""/>
      <w:lvlJc w:val="left"/>
      <w:pPr>
        <w:tabs>
          <w:tab w:val="num" w:pos="360"/>
        </w:tabs>
        <w:ind w:left="0" w:hanging="0"/>
      </w:pPr>
      <w:rPr/>
    </w:lvl>
    <w:lvl w:ilvl="4">
      <w:start w:val="0"/>
      <w:numFmt w:val="none"/>
      <w:suff w:val="nothing"/>
      <w:lvlText w:val=""/>
      <w:lvlJc w:val="left"/>
      <w:pPr>
        <w:tabs>
          <w:tab w:val="num" w:pos="360"/>
        </w:tabs>
        <w:ind w:left="0" w:hanging="0"/>
      </w:pPr>
      <w:rPr/>
    </w:lvl>
    <w:lvl w:ilvl="5">
      <w:start w:val="0"/>
      <w:numFmt w:val="none"/>
      <w:suff w:val="nothing"/>
      <w:lvlText w:val=""/>
      <w:lvlJc w:val="left"/>
      <w:pPr>
        <w:tabs>
          <w:tab w:val="num" w:pos="360"/>
        </w:tabs>
        <w:ind w:left="0" w:hanging="0"/>
      </w:pPr>
      <w:rPr/>
    </w:lvl>
    <w:lvl w:ilvl="6">
      <w:start w:val="0"/>
      <w:numFmt w:val="none"/>
      <w:suff w:val="nothing"/>
      <w:lvlText w:val=""/>
      <w:lvlJc w:val="left"/>
      <w:pPr>
        <w:tabs>
          <w:tab w:val="num" w:pos="360"/>
        </w:tabs>
        <w:ind w:left="0" w:hanging="0"/>
      </w:pPr>
      <w:rPr/>
    </w:lvl>
    <w:lvl w:ilvl="7">
      <w:start w:val="0"/>
      <w:numFmt w:val="none"/>
      <w:suff w:val="nothing"/>
      <w:lvlText w:val=""/>
      <w:lvlJc w:val="left"/>
      <w:pPr>
        <w:tabs>
          <w:tab w:val="num" w:pos="360"/>
        </w:tabs>
        <w:ind w:left="0" w:hanging="0"/>
      </w:pPr>
      <w:rPr/>
    </w:lvl>
    <w:lvl w:ilvl="8">
      <w:start w:val="0"/>
      <w:numFmt w:val="none"/>
      <w:suff w:val="nothing"/>
      <w:lvlText w:val=""/>
      <w:lvlJc w:val="left"/>
      <w:pPr>
        <w:tabs>
          <w:tab w:val="num" w:pos="360"/>
        </w:tabs>
        <w:ind w:left="0" w:hanging="0"/>
      </w:pPr>
      <w:rPr/>
    </w:lvl>
  </w:abstractNum>
  <w:abstractNum w:abstractNumId="4">
    <w:lvl w:ilvl="0">
      <w:start w:val="1"/>
      <w:numFmt w:val="decimal"/>
      <w:lvlText w:val="%1."/>
      <w:lvlJc w:val="left"/>
      <w:pPr>
        <w:tabs>
          <w:tab w:val="num" w:pos="480"/>
        </w:tabs>
        <w:ind w:left="480" w:hanging="405"/>
      </w:pPr>
      <w:rPr>
        <w:sz w:val="22"/>
        <w:szCs w:val="22"/>
        <w:lang w:val="bg-BG"/>
      </w:rPr>
    </w:lvl>
  </w:abstractNum>
  <w:abstractNum w:abstractNumId="5">
    <w:lvl w:ilvl="0">
      <w:start w:val="1"/>
      <w:numFmt w:val="decimal"/>
      <w:lvlText w:val="%1."/>
      <w:lvlJc w:val="left"/>
      <w:pPr>
        <w:tabs>
          <w:tab w:val="num" w:pos="750"/>
        </w:tabs>
        <w:ind w:left="750" w:hanging="390"/>
      </w:pPr>
      <w:rPr/>
    </w:lvl>
  </w:abstractNum>
  <w:abstractNum w:abstractNumId="6">
    <w:lvl w:ilvl="0">
      <w:start w:val="3"/>
      <w:numFmt w:val="decimal"/>
      <w:lvlText w:val="%1."/>
      <w:lvlJc w:val="left"/>
      <w:pPr>
        <w:tabs>
          <w:tab w:val="num" w:pos="435"/>
        </w:tabs>
        <w:ind w:left="435" w:hanging="360"/>
      </w:pPr>
      <w:rPr/>
    </w:lvl>
  </w:abstractNum>
  <w:abstractNum w:abstractNumId="7">
    <w:lvl w:ilvl="0">
      <w:start w:val="1"/>
      <w:numFmt w:val="decimal"/>
      <w:lvlText w:val="%1."/>
      <w:lvlJc w:val="left"/>
      <w:pPr>
        <w:tabs>
          <w:tab w:val="num" w:pos="720"/>
        </w:tabs>
        <w:ind w:left="720" w:hanging="360"/>
      </w:pPr>
      <w:rPr/>
    </w:lvl>
  </w:abstractNum>
  <w:abstractNum w:abstractNumId="8">
    <w:lvl w:ilvl="0">
      <w:start w:val="1"/>
      <w:numFmt w:val="decimal"/>
      <w:lvlText w:val="%1."/>
      <w:lvlJc w:val="left"/>
      <w:pPr>
        <w:tabs>
          <w:tab w:val="num" w:pos="435"/>
        </w:tabs>
        <w:ind w:left="435" w:hanging="360"/>
      </w:pPr>
      <w:rPr>
        <w:sz w:val="22"/>
        <w:b/>
        <w:szCs w:val="22"/>
        <w:lang w:val="bg-BG"/>
      </w:rPr>
    </w:lvl>
  </w:abstractNum>
  <w:abstractNum w:abstractNumId="9">
    <w:lvl w:ilvl="0">
      <w:start w:val="1"/>
      <w:numFmt w:val="decimal"/>
      <w:lvlText w:val="%1."/>
      <w:lvlJc w:val="left"/>
      <w:pPr>
        <w:tabs>
          <w:tab w:val="num" w:pos="780"/>
        </w:tabs>
        <w:ind w:left="780" w:hanging="420"/>
      </w:pPr>
      <w:rPr>
        <w:sz w:val="22"/>
        <w:szCs w:val="22"/>
        <w:lang w:val="bg-BG"/>
      </w:rPr>
    </w:lvl>
  </w:abstractNum>
  <w:abstractNum w:abstractNumId="10">
    <w:lvl w:ilvl="0">
      <w:start w:val="1"/>
      <w:numFmt w:val="decimal"/>
      <w:lvlText w:val="%1."/>
      <w:lvlJc w:val="left"/>
      <w:pPr>
        <w:tabs>
          <w:tab w:val="num" w:pos="1080"/>
        </w:tabs>
        <w:ind w:left="1080" w:hanging="360"/>
      </w:pPr>
      <w:rPr/>
    </w:lvl>
  </w:abstractNum>
  <w:abstractNum w:abstractNumId="11">
    <w:lvl w:ilvl="0">
      <w:start w:val="1"/>
      <w:numFmt w:val="decimal"/>
      <w:lvlText w:val="%1."/>
      <w:lvlJc w:val="left"/>
      <w:pPr>
        <w:tabs>
          <w:tab w:val="num" w:pos="720"/>
        </w:tabs>
        <w:ind w:left="720" w:hanging="360"/>
      </w:pPr>
      <w:rPr/>
    </w:lvl>
  </w:abstractNum>
  <w:abstractNum w:abstractNumId="12">
    <w:lvl w:ilvl="0">
      <w:start w:val="1"/>
      <w:numFmt w:val="decimal"/>
      <w:lvlText w:val="%1."/>
      <w:lvlJc w:val="left"/>
      <w:pPr>
        <w:tabs>
          <w:tab w:val="num" w:pos="720"/>
        </w:tabs>
        <w:ind w:left="720" w:hanging="360"/>
      </w:pPr>
      <w:rPr/>
    </w:lvl>
  </w:abstractNum>
  <w:abstractNum w:abstractNumId="1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w="http://schemas.openxmlformats.org/wordprocessingml/2006/main">
  <w:zoom w:percent="100"/>
  <w:defaultTabStop w:val="708"/>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WenQuanYi Micro Hei" w:cs="Lohit Devanagari"/>
        <w:szCs w:val="24"/>
        <w:lang w:val="en-US" w:eastAsia="zh-CN" w:bidi="hi-IN"/>
      </w:rPr>
    </w:rPrDefault>
    <w:pPrDefault>
      <w:pPr/>
    </w:pPrDefault>
  </w:docDefaults>
  <w:style w:type="paragraph" w:styleId="Normal">
    <w:name w:val="Normal"/>
    <w:qFormat/>
    <w:pPr>
      <w:widowControl/>
      <w:bidi w:val="0"/>
    </w:pPr>
    <w:rPr>
      <w:rFonts w:ascii="Times New Roman" w:hAnsi="Times New Roman" w:eastAsia="Times New Roman" w:cs="Times New Roman"/>
      <w:color w:val="auto"/>
      <w:sz w:val="24"/>
      <w:szCs w:val="24"/>
      <w:lang w:val="en-US" w:bidi="ar-SA" w:eastAsia="zh-CN"/>
    </w:rPr>
  </w:style>
  <w:style w:type="character" w:styleId="WW8Num1z0">
    <w:name w:val="WW8Num1z0"/>
    <w:qFormat/>
    <w:rPr>
      <w:sz w:val="22"/>
      <w:szCs w:val="22"/>
      <w:lang w:val="bg-BG"/>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WW8Num3z0">
    <w:name w:val="WW8Num3z0"/>
    <w:qFormat/>
    <w:rPr/>
  </w:style>
  <w:style w:type="character" w:styleId="WW8Num3z1">
    <w:name w:val="WW8Num3z1"/>
    <w:qFormat/>
    <w:rPr/>
  </w:style>
  <w:style w:type="character" w:styleId="WW8Num3z2">
    <w:name w:val="WW8Num3z2"/>
    <w:qFormat/>
    <w:rPr/>
  </w:style>
  <w:style w:type="character" w:styleId="WW8Num3z3">
    <w:name w:val="WW8Num3z3"/>
    <w:qFormat/>
    <w:rPr/>
  </w:style>
  <w:style w:type="character" w:styleId="WW8Num3z4">
    <w:name w:val="WW8Num3z4"/>
    <w:qFormat/>
    <w:rPr/>
  </w:style>
  <w:style w:type="character" w:styleId="WW8Num3z5">
    <w:name w:val="WW8Num3z5"/>
    <w:qFormat/>
    <w:rPr/>
  </w:style>
  <w:style w:type="character" w:styleId="WW8Num3z6">
    <w:name w:val="WW8Num3z6"/>
    <w:qFormat/>
    <w:rPr/>
  </w:style>
  <w:style w:type="character" w:styleId="WW8Num3z7">
    <w:name w:val="WW8Num3z7"/>
    <w:qFormat/>
    <w:rPr/>
  </w:style>
  <w:style w:type="character" w:styleId="WW8Num3z8">
    <w:name w:val="WW8Num3z8"/>
    <w:qFormat/>
    <w:rPr/>
  </w:style>
  <w:style w:type="character" w:styleId="WW8Num4z0">
    <w:name w:val="WW8Num4z0"/>
    <w:qFormat/>
    <w:rPr>
      <w:sz w:val="22"/>
      <w:szCs w:val="22"/>
      <w:lang w:val="bg-BG"/>
    </w:rPr>
  </w:style>
  <w:style w:type="character" w:styleId="WW8Num4z1">
    <w:name w:val="WW8Num4z1"/>
    <w:qFormat/>
    <w:rPr/>
  </w:style>
  <w:style w:type="character" w:styleId="WW8Num4z2">
    <w:name w:val="WW8Num4z2"/>
    <w:qFormat/>
    <w:rPr/>
  </w:style>
  <w:style w:type="character" w:styleId="WW8Num4z3">
    <w:name w:val="WW8Num4z3"/>
    <w:qFormat/>
    <w:rPr/>
  </w:style>
  <w:style w:type="character" w:styleId="WW8Num4z4">
    <w:name w:val="WW8Num4z4"/>
    <w:qFormat/>
    <w:rPr/>
  </w:style>
  <w:style w:type="character" w:styleId="WW8Num4z5">
    <w:name w:val="WW8Num4z5"/>
    <w:qFormat/>
    <w:rPr/>
  </w:style>
  <w:style w:type="character" w:styleId="WW8Num4z6">
    <w:name w:val="WW8Num4z6"/>
    <w:qFormat/>
    <w:rPr/>
  </w:style>
  <w:style w:type="character" w:styleId="WW8Num4z7">
    <w:name w:val="WW8Num4z7"/>
    <w:qFormat/>
    <w:rPr/>
  </w:style>
  <w:style w:type="character" w:styleId="WW8Num4z8">
    <w:name w:val="WW8Num4z8"/>
    <w:qFormat/>
    <w:rPr/>
  </w:style>
  <w:style w:type="character" w:styleId="WW8Num5z0">
    <w:name w:val="WW8Num5z0"/>
    <w:qFormat/>
    <w:rPr/>
  </w:style>
  <w:style w:type="character" w:styleId="WW8Num5z1">
    <w:name w:val="WW8Num5z1"/>
    <w:qFormat/>
    <w:rPr/>
  </w:style>
  <w:style w:type="character" w:styleId="WW8Num5z2">
    <w:name w:val="WW8Num5z2"/>
    <w:qFormat/>
    <w:rPr/>
  </w:style>
  <w:style w:type="character" w:styleId="WW8Num5z3">
    <w:name w:val="WW8Num5z3"/>
    <w:qFormat/>
    <w:rPr/>
  </w:style>
  <w:style w:type="character" w:styleId="WW8Num5z4">
    <w:name w:val="WW8Num5z4"/>
    <w:qFormat/>
    <w:rPr/>
  </w:style>
  <w:style w:type="character" w:styleId="WW8Num5z5">
    <w:name w:val="WW8Num5z5"/>
    <w:qFormat/>
    <w:rPr/>
  </w:style>
  <w:style w:type="character" w:styleId="WW8Num5z6">
    <w:name w:val="WW8Num5z6"/>
    <w:qFormat/>
    <w:rPr/>
  </w:style>
  <w:style w:type="character" w:styleId="WW8Num5z7">
    <w:name w:val="WW8Num5z7"/>
    <w:qFormat/>
    <w:rPr/>
  </w:style>
  <w:style w:type="character" w:styleId="WW8Num5z8">
    <w:name w:val="WW8Num5z8"/>
    <w:qFormat/>
    <w:rPr/>
  </w:style>
  <w:style w:type="character" w:styleId="WW8Num6z0">
    <w:name w:val="WW8Num6z0"/>
    <w:qFormat/>
    <w:rPr/>
  </w:style>
  <w:style w:type="character" w:styleId="WW8Num6z1">
    <w:name w:val="WW8Num6z1"/>
    <w:qFormat/>
    <w:rPr/>
  </w:style>
  <w:style w:type="character" w:styleId="WW8Num6z2">
    <w:name w:val="WW8Num6z2"/>
    <w:qFormat/>
    <w:rPr/>
  </w:style>
  <w:style w:type="character" w:styleId="WW8Num6z3">
    <w:name w:val="WW8Num6z3"/>
    <w:qFormat/>
    <w:rPr/>
  </w:style>
  <w:style w:type="character" w:styleId="WW8Num6z4">
    <w:name w:val="WW8Num6z4"/>
    <w:qFormat/>
    <w:rPr/>
  </w:style>
  <w:style w:type="character" w:styleId="WW8Num6z5">
    <w:name w:val="WW8Num6z5"/>
    <w:qFormat/>
    <w:rPr/>
  </w:style>
  <w:style w:type="character" w:styleId="WW8Num6z6">
    <w:name w:val="WW8Num6z6"/>
    <w:qFormat/>
    <w:rPr/>
  </w:style>
  <w:style w:type="character" w:styleId="WW8Num6z7">
    <w:name w:val="WW8Num6z7"/>
    <w:qFormat/>
    <w:rPr/>
  </w:style>
  <w:style w:type="character" w:styleId="WW8Num6z8">
    <w:name w:val="WW8Num6z8"/>
    <w:qFormat/>
    <w:rPr/>
  </w:style>
  <w:style w:type="character" w:styleId="WW8Num7z0">
    <w:name w:val="WW8Num7z0"/>
    <w:qFormat/>
    <w:rPr/>
  </w:style>
  <w:style w:type="character" w:styleId="WW8Num7z1">
    <w:name w:val="WW8Num7z1"/>
    <w:qFormat/>
    <w:rPr/>
  </w:style>
  <w:style w:type="character" w:styleId="WW8Num7z2">
    <w:name w:val="WW8Num7z2"/>
    <w:qFormat/>
    <w:rPr/>
  </w:style>
  <w:style w:type="character" w:styleId="WW8Num7z3">
    <w:name w:val="WW8Num7z3"/>
    <w:qFormat/>
    <w:rPr/>
  </w:style>
  <w:style w:type="character" w:styleId="WW8Num7z4">
    <w:name w:val="WW8Num7z4"/>
    <w:qFormat/>
    <w:rPr/>
  </w:style>
  <w:style w:type="character" w:styleId="WW8Num7z5">
    <w:name w:val="WW8Num7z5"/>
    <w:qFormat/>
    <w:rPr/>
  </w:style>
  <w:style w:type="character" w:styleId="WW8Num7z6">
    <w:name w:val="WW8Num7z6"/>
    <w:qFormat/>
    <w:rPr/>
  </w:style>
  <w:style w:type="character" w:styleId="WW8Num7z7">
    <w:name w:val="WW8Num7z7"/>
    <w:qFormat/>
    <w:rPr/>
  </w:style>
  <w:style w:type="character" w:styleId="WW8Num7z8">
    <w:name w:val="WW8Num7z8"/>
    <w:qFormat/>
    <w:rPr/>
  </w:style>
  <w:style w:type="character" w:styleId="WW8Num8z0">
    <w:name w:val="WW8Num8z0"/>
    <w:qFormat/>
    <w:rPr>
      <w:b/>
      <w:sz w:val="22"/>
      <w:szCs w:val="22"/>
      <w:lang w:val="bg-BG"/>
    </w:rPr>
  </w:style>
  <w:style w:type="character" w:styleId="WW8Num8z1">
    <w:name w:val="WW8Num8z1"/>
    <w:qFormat/>
    <w:rPr/>
  </w:style>
  <w:style w:type="character" w:styleId="WW8Num8z2">
    <w:name w:val="WW8Num8z2"/>
    <w:qFormat/>
    <w:rPr/>
  </w:style>
  <w:style w:type="character" w:styleId="WW8Num8z3">
    <w:name w:val="WW8Num8z3"/>
    <w:qFormat/>
    <w:rPr/>
  </w:style>
  <w:style w:type="character" w:styleId="WW8Num8z4">
    <w:name w:val="WW8Num8z4"/>
    <w:qFormat/>
    <w:rPr/>
  </w:style>
  <w:style w:type="character" w:styleId="WW8Num8z5">
    <w:name w:val="WW8Num8z5"/>
    <w:qFormat/>
    <w:rPr/>
  </w:style>
  <w:style w:type="character" w:styleId="WW8Num8z6">
    <w:name w:val="WW8Num8z6"/>
    <w:qFormat/>
    <w:rPr/>
  </w:style>
  <w:style w:type="character" w:styleId="WW8Num8z7">
    <w:name w:val="WW8Num8z7"/>
    <w:qFormat/>
    <w:rPr/>
  </w:style>
  <w:style w:type="character" w:styleId="WW8Num8z8">
    <w:name w:val="WW8Num8z8"/>
    <w:qFormat/>
    <w:rPr/>
  </w:style>
  <w:style w:type="character" w:styleId="WW8Num9z0">
    <w:name w:val="WW8Num9z0"/>
    <w:qFormat/>
    <w:rPr>
      <w:sz w:val="22"/>
      <w:szCs w:val="22"/>
      <w:lang w:val="bg-BG"/>
    </w:rPr>
  </w:style>
  <w:style w:type="character" w:styleId="WW8Num9z1">
    <w:name w:val="WW8Num9z1"/>
    <w:qFormat/>
    <w:rPr/>
  </w:style>
  <w:style w:type="character" w:styleId="WW8Num9z2">
    <w:name w:val="WW8Num9z2"/>
    <w:qFormat/>
    <w:rPr/>
  </w:style>
  <w:style w:type="character" w:styleId="WW8Num9z3">
    <w:name w:val="WW8Num9z3"/>
    <w:qFormat/>
    <w:rPr/>
  </w:style>
  <w:style w:type="character" w:styleId="WW8Num9z4">
    <w:name w:val="WW8Num9z4"/>
    <w:qFormat/>
    <w:rPr/>
  </w:style>
  <w:style w:type="character" w:styleId="WW8Num9z5">
    <w:name w:val="WW8Num9z5"/>
    <w:qFormat/>
    <w:rPr/>
  </w:style>
  <w:style w:type="character" w:styleId="WW8Num9z6">
    <w:name w:val="WW8Num9z6"/>
    <w:qFormat/>
    <w:rPr/>
  </w:style>
  <w:style w:type="character" w:styleId="WW8Num9z7">
    <w:name w:val="WW8Num9z7"/>
    <w:qFormat/>
    <w:rPr/>
  </w:style>
  <w:style w:type="character" w:styleId="WW8Num9z8">
    <w:name w:val="WW8Num9z8"/>
    <w:qFormat/>
    <w:rPr/>
  </w:style>
  <w:style w:type="character" w:styleId="WW8Num10z0">
    <w:name w:val="WW8Num10z0"/>
    <w:qFormat/>
    <w:rPr/>
  </w:style>
  <w:style w:type="character" w:styleId="WW8Num10z1">
    <w:name w:val="WW8Num10z1"/>
    <w:qFormat/>
    <w:rPr/>
  </w:style>
  <w:style w:type="character" w:styleId="WW8Num10z2">
    <w:name w:val="WW8Num10z2"/>
    <w:qFormat/>
    <w:rPr/>
  </w:style>
  <w:style w:type="character" w:styleId="WW8Num10z3">
    <w:name w:val="WW8Num10z3"/>
    <w:qFormat/>
    <w:rPr/>
  </w:style>
  <w:style w:type="character" w:styleId="WW8Num10z4">
    <w:name w:val="WW8Num10z4"/>
    <w:qFormat/>
    <w:rPr/>
  </w:style>
  <w:style w:type="character" w:styleId="WW8Num10z5">
    <w:name w:val="WW8Num10z5"/>
    <w:qFormat/>
    <w:rPr/>
  </w:style>
  <w:style w:type="character" w:styleId="WW8Num10z6">
    <w:name w:val="WW8Num10z6"/>
    <w:qFormat/>
    <w:rPr/>
  </w:style>
  <w:style w:type="character" w:styleId="WW8Num10z7">
    <w:name w:val="WW8Num10z7"/>
    <w:qFormat/>
    <w:rPr/>
  </w:style>
  <w:style w:type="character" w:styleId="WW8Num10z8">
    <w:name w:val="WW8Num10z8"/>
    <w:qFormat/>
    <w:rPr/>
  </w:style>
  <w:style w:type="character" w:styleId="WW8Num11z0">
    <w:name w:val="WW8Num11z0"/>
    <w:qFormat/>
    <w:rPr/>
  </w:style>
  <w:style w:type="character" w:styleId="WW8Num11z1">
    <w:name w:val="WW8Num11z1"/>
    <w:qFormat/>
    <w:rPr/>
  </w:style>
  <w:style w:type="character" w:styleId="WW8Num11z2">
    <w:name w:val="WW8Num11z2"/>
    <w:qFormat/>
    <w:rPr/>
  </w:style>
  <w:style w:type="character" w:styleId="WW8Num11z3">
    <w:name w:val="WW8Num11z3"/>
    <w:qFormat/>
    <w:rPr/>
  </w:style>
  <w:style w:type="character" w:styleId="WW8Num11z4">
    <w:name w:val="WW8Num11z4"/>
    <w:qFormat/>
    <w:rPr/>
  </w:style>
  <w:style w:type="character" w:styleId="WW8Num11z5">
    <w:name w:val="WW8Num11z5"/>
    <w:qFormat/>
    <w:rPr/>
  </w:style>
  <w:style w:type="character" w:styleId="WW8Num11z6">
    <w:name w:val="WW8Num11z6"/>
    <w:qFormat/>
    <w:rPr/>
  </w:style>
  <w:style w:type="character" w:styleId="WW8Num11z7">
    <w:name w:val="WW8Num11z7"/>
    <w:qFormat/>
    <w:rPr/>
  </w:style>
  <w:style w:type="character" w:styleId="WW8Num11z8">
    <w:name w:val="WW8Num11z8"/>
    <w:qFormat/>
    <w:rPr/>
  </w:style>
  <w:style w:type="character" w:styleId="WW8Num12z0">
    <w:name w:val="WW8Num12z0"/>
    <w:qFormat/>
    <w:rPr/>
  </w:style>
  <w:style w:type="character" w:styleId="WW8Num12z1">
    <w:name w:val="WW8Num12z1"/>
    <w:qFormat/>
    <w:rPr/>
  </w:style>
  <w:style w:type="character" w:styleId="WW8Num12z2">
    <w:name w:val="WW8Num12z2"/>
    <w:qFormat/>
    <w:rPr/>
  </w:style>
  <w:style w:type="character" w:styleId="WW8Num12z3">
    <w:name w:val="WW8Num12z3"/>
    <w:qFormat/>
    <w:rPr/>
  </w:style>
  <w:style w:type="character" w:styleId="WW8Num12z4">
    <w:name w:val="WW8Num12z4"/>
    <w:qFormat/>
    <w:rPr/>
  </w:style>
  <w:style w:type="character" w:styleId="WW8Num12z5">
    <w:name w:val="WW8Num12z5"/>
    <w:qFormat/>
    <w:rPr/>
  </w:style>
  <w:style w:type="character" w:styleId="WW8Num12z6">
    <w:name w:val="WW8Num12z6"/>
    <w:qFormat/>
    <w:rPr/>
  </w:style>
  <w:style w:type="character" w:styleId="WW8Num12z7">
    <w:name w:val="WW8Num12z7"/>
    <w:qFormat/>
    <w:rPr/>
  </w:style>
  <w:style w:type="character" w:styleId="WW8Num12z8">
    <w:name w:val="WW8Num12z8"/>
    <w:qFormat/>
    <w:rPr/>
  </w:style>
  <w:style w:type="character" w:styleId="DefaultParagraphFont">
    <w:name w:val="Default Paragraph Font"/>
    <w:qFormat/>
    <w:rPr/>
  </w:style>
  <w:style w:type="character" w:styleId="PageNumber">
    <w:name w:val="Page Number"/>
    <w:basedOn w:val="DefaultParagraphFont"/>
    <w:rPr/>
  </w:style>
  <w:style w:type="paragraph" w:styleId="Heading">
    <w:name w:val="Heading"/>
    <w:basedOn w:val="Normal"/>
    <w:next w:val="TextBody"/>
    <w:qFormat/>
    <w:pPr>
      <w:keepNext/>
      <w:spacing w:before="240" w:after="120"/>
    </w:pPr>
    <w:rPr>
      <w:rFonts w:ascii="Liberation Sans" w:hAnsi="Liberation Sans" w:eastAsia="WenQuanYi Micro Hei" w:cs="Lohit Devanagari"/>
      <w:sz w:val="28"/>
      <w:szCs w:val="28"/>
    </w:rPr>
  </w:style>
  <w:style w:type="paragraph" w:styleId="TextBody">
    <w:name w:val="Body Text"/>
    <w:basedOn w:val="Normal"/>
    <w:pPr>
      <w:spacing w:lineRule="auto" w:line="288"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Footer">
    <w:name w:val="Footer"/>
    <w:basedOn w:val="Normal"/>
    <w:pPr>
      <w:tabs>
        <w:tab w:val="center" w:pos="4536" w:leader="none"/>
        <w:tab w:val="right" w:pos="9072" w:leader="none"/>
      </w:tabs>
    </w:pPr>
    <w:rPr/>
  </w:style>
  <w:style w:type="paragraph" w:styleId="FrameContents">
    <w:name w:val="Frame Contents"/>
    <w:basedOn w:val="Normal"/>
    <w:qFormat/>
    <w:pPr/>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Normal.dot</Template>
  <TotalTime>2</TotalTime>
  <Application>LibreOffice/5.1.6.2$Linux_X86_64 LibreOffice_project/10m0$Build-2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2013-10-29T22:54:00Z</dcterms:created>
  <dc:creator>Sasho</dc:creator>
  <dc:description/>
  <dc:language>en-US</dc:language>
  <cp:lastModifiedBy>Sasho</cp:lastModifiedBy>
  <dcterms:modified xsi:type="dcterms:W3CDTF">2013-10-29T22:56:00Z</dcterms:modified>
  <cp:revision>2</cp:revision>
  <dc:subject/>
  <dc:title/>
</cp:coreProperties>
</file>